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rPr>
          <w:rFonts w:hint="default" w:ascii="仿宋_GB2312" w:eastAsia="仿宋_GB2312" w:hAnsiTheme="minorHAnsi" w:cstheme="minorBidi"/>
          <w:b/>
          <w:bCs/>
          <w:color w:val="000000" w:themeColor="text1"/>
          <w:sz w:val="32"/>
          <w:szCs w:val="32"/>
          <w:lang w:val="en-US" w:eastAsia="zh-CN"/>
          <w14:textFill>
            <w14:solidFill>
              <w14:schemeClr w14:val="tx1"/>
            </w14:solidFill>
          </w14:textFill>
        </w:rPr>
      </w:pPr>
      <w:r>
        <w:rPr>
          <w:rFonts w:hint="eastAsia" w:ascii="仿宋_GB2312" w:eastAsia="仿宋_GB2312" w:hAnsiTheme="minorHAnsi" w:cstheme="minorBidi"/>
          <w:b/>
          <w:bCs/>
          <w:color w:val="000000" w:themeColor="text1"/>
          <w:sz w:val="32"/>
          <w:szCs w:val="32"/>
          <w:lang w:val="en-US" w:eastAsia="zh-CN"/>
          <w14:textFill>
            <w14:solidFill>
              <w14:schemeClr w14:val="tx1"/>
            </w14:solidFill>
          </w14:textFill>
        </w:rPr>
        <w:t>附件：</w:t>
      </w:r>
      <w:bookmarkStart w:id="22" w:name="_GoBack"/>
      <w:bookmarkEnd w:id="22"/>
    </w:p>
    <w:p>
      <w:pPr>
        <w:spacing w:line="540" w:lineRule="exact"/>
        <w:jc w:val="center"/>
        <w:rPr>
          <w:rFonts w:hint="default" w:ascii="仿宋_GB2312" w:eastAsia="仿宋_GB2312" w:hAnsiTheme="minorHAnsi" w:cstheme="minorBidi"/>
          <w:b/>
          <w:bCs/>
          <w:color w:val="000000" w:themeColor="text1"/>
          <w:sz w:val="32"/>
          <w:szCs w:val="32"/>
          <w:lang w:val="en-US" w:eastAsia="zh-CN"/>
          <w14:textFill>
            <w14:solidFill>
              <w14:schemeClr w14:val="tx1"/>
            </w14:solidFill>
          </w14:textFill>
        </w:rPr>
      </w:pPr>
      <w:r>
        <w:rPr>
          <w:rFonts w:hint="eastAsia" w:ascii="仿宋_GB2312" w:eastAsia="仿宋_GB2312" w:hAnsiTheme="minorHAnsi" w:cstheme="minorBidi"/>
          <w:b/>
          <w:bCs/>
          <w:color w:val="000000" w:themeColor="text1"/>
          <w:sz w:val="32"/>
          <w:szCs w:val="32"/>
          <w:lang w:val="en-US" w:eastAsia="zh-CN"/>
          <w14:textFill>
            <w14:solidFill>
              <w14:schemeClr w14:val="tx1"/>
            </w14:solidFill>
          </w14:textFill>
        </w:rPr>
        <w:t>贵州省博物馆空调维保服务采购项目需求</w:t>
      </w:r>
    </w:p>
    <w:p>
      <w:pPr>
        <w:pageBreakBefore w:val="0"/>
        <w:numPr>
          <w:ilvl w:val="0"/>
          <w:numId w:val="0"/>
        </w:numPr>
        <w:kinsoku/>
        <w:wordWrap/>
        <w:overflowPunct/>
        <w:topLinePunct w:val="0"/>
        <w:autoSpaceDE/>
        <w:autoSpaceDN/>
        <w:bidi w:val="0"/>
        <w:adjustRightInd/>
        <w:snapToGrid/>
        <w:ind w:left="0" w:firstLine="640" w:firstLineChars="200"/>
        <w:jc w:val="left"/>
        <w:textAlignment w:val="auto"/>
        <w:rPr>
          <w:rFonts w:hint="eastAsia" w:ascii="黑体" w:hAnsi="黑体" w:eastAsia="黑体" w:cs="黑体"/>
          <w:sz w:val="32"/>
          <w:szCs w:val="32"/>
          <w:highlight w:val="none"/>
        </w:rPr>
      </w:pPr>
      <w:bookmarkStart w:id="0" w:name="_Toc101247312"/>
      <w:bookmarkStart w:id="1" w:name="_Toc101234248"/>
      <w:bookmarkStart w:id="2" w:name="_Toc148505181"/>
      <w:bookmarkStart w:id="3" w:name="_Toc101328520"/>
      <w:r>
        <w:rPr>
          <w:rFonts w:hint="eastAsia" w:ascii="黑体" w:hAnsi="黑体" w:eastAsia="黑体" w:cs="黑体"/>
          <w:sz w:val="32"/>
          <w:szCs w:val="32"/>
          <w:highlight w:val="none"/>
          <w:lang w:val="en-US" w:eastAsia="zh-CN"/>
        </w:rPr>
        <w:t>一、</w:t>
      </w:r>
      <w:r>
        <w:rPr>
          <w:rFonts w:hint="eastAsia" w:ascii="黑体" w:hAnsi="黑体" w:eastAsia="黑体" w:cs="黑体"/>
          <w:sz w:val="32"/>
          <w:szCs w:val="32"/>
          <w:highlight w:val="none"/>
        </w:rPr>
        <w:t>项目名称</w:t>
      </w:r>
    </w:p>
    <w:p>
      <w:pPr>
        <w:pageBreakBefore w:val="0"/>
        <w:numPr>
          <w:ilvl w:val="0"/>
          <w:numId w:val="0"/>
        </w:numPr>
        <w:kinsoku/>
        <w:wordWrap/>
        <w:overflowPunct/>
        <w:topLinePunct w:val="0"/>
        <w:autoSpaceDE/>
        <w:autoSpaceDN/>
        <w:bidi w:val="0"/>
        <w:adjustRightInd/>
        <w:snapToGrid/>
        <w:ind w:left="0" w:firstLine="640"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贵州省博物馆</w:t>
      </w:r>
      <w:r>
        <w:rPr>
          <w:rFonts w:hint="eastAsia" w:ascii="仿宋_GB2312" w:hAnsi="仿宋_GB2312" w:eastAsia="仿宋_GB2312" w:cs="仿宋_GB2312"/>
          <w:sz w:val="32"/>
          <w:szCs w:val="32"/>
          <w:highlight w:val="none"/>
          <w:lang w:val="en-US" w:eastAsia="zh-CN"/>
        </w:rPr>
        <w:t>空调</w:t>
      </w:r>
      <w:r>
        <w:rPr>
          <w:rFonts w:hint="eastAsia" w:ascii="仿宋_GB2312" w:hAnsi="仿宋_GB2312" w:eastAsia="仿宋_GB2312" w:cs="仿宋_GB2312"/>
          <w:sz w:val="32"/>
          <w:szCs w:val="32"/>
          <w:highlight w:val="none"/>
        </w:rPr>
        <w:t>维保</w:t>
      </w:r>
      <w:r>
        <w:rPr>
          <w:rFonts w:hint="eastAsia" w:ascii="仿宋_GB2312" w:hAnsi="仿宋_GB2312" w:eastAsia="仿宋_GB2312" w:cs="仿宋_GB2312"/>
          <w:sz w:val="32"/>
          <w:szCs w:val="32"/>
          <w:highlight w:val="none"/>
          <w:lang w:val="en-US" w:eastAsia="zh-CN"/>
        </w:rPr>
        <w:t>服务</w:t>
      </w:r>
    </w:p>
    <w:p>
      <w:pPr>
        <w:pageBreakBefore w:val="0"/>
        <w:numPr>
          <w:ilvl w:val="0"/>
          <w:numId w:val="0"/>
        </w:numPr>
        <w:kinsoku/>
        <w:wordWrap/>
        <w:overflowPunct/>
        <w:topLinePunct w:val="0"/>
        <w:autoSpaceDE/>
        <w:autoSpaceDN/>
        <w:bidi w:val="0"/>
        <w:adjustRightInd/>
        <w:snapToGrid/>
        <w:ind w:left="0" w:firstLine="640" w:firstLineChars="200"/>
        <w:jc w:val="left"/>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二、维保内容</w:t>
      </w:r>
    </w:p>
    <w:tbl>
      <w:tblPr>
        <w:tblStyle w:val="6"/>
        <w:tblW w:w="88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7"/>
        <w:gridCol w:w="1395"/>
        <w:gridCol w:w="3194"/>
        <w:gridCol w:w="810"/>
        <w:gridCol w:w="975"/>
        <w:gridCol w:w="16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807" w:type="dxa"/>
            <w:shd w:val="clear" w:color="auto" w:fill="auto"/>
            <w:vAlign w:val="center"/>
          </w:tcPr>
          <w:p>
            <w:pPr>
              <w:pageBreakBefore w:val="0"/>
              <w:kinsoku/>
              <w:wordWrap/>
              <w:overflowPunct/>
              <w:topLinePunct w:val="0"/>
              <w:autoSpaceDE/>
              <w:autoSpaceDN/>
              <w:bidi w:val="0"/>
              <w:adjustRightInd/>
              <w:snapToGrid/>
              <w:ind w:left="0"/>
              <w:jc w:val="center"/>
              <w:textAlignment w:val="auto"/>
              <w:rPr>
                <w:rFonts w:ascii="宋体" w:hAnsi="宋体"/>
                <w:sz w:val="22"/>
              </w:rPr>
            </w:pPr>
            <w:r>
              <w:rPr>
                <w:rFonts w:hint="eastAsia" w:ascii="宋体" w:hAnsi="宋体"/>
                <w:sz w:val="22"/>
              </w:rPr>
              <w:t>序号</w:t>
            </w:r>
          </w:p>
        </w:tc>
        <w:tc>
          <w:tcPr>
            <w:tcW w:w="1395" w:type="dxa"/>
            <w:shd w:val="clear" w:color="auto" w:fill="auto"/>
            <w:vAlign w:val="center"/>
          </w:tcPr>
          <w:p>
            <w:pPr>
              <w:pageBreakBefore w:val="0"/>
              <w:kinsoku/>
              <w:wordWrap/>
              <w:overflowPunct/>
              <w:topLinePunct w:val="0"/>
              <w:autoSpaceDE/>
              <w:autoSpaceDN/>
              <w:bidi w:val="0"/>
              <w:adjustRightInd/>
              <w:snapToGrid/>
              <w:ind w:left="0"/>
              <w:jc w:val="center"/>
              <w:textAlignment w:val="auto"/>
              <w:rPr>
                <w:rFonts w:ascii="宋体" w:hAnsi="宋体"/>
                <w:sz w:val="22"/>
              </w:rPr>
            </w:pPr>
            <w:r>
              <w:rPr>
                <w:rFonts w:hint="eastAsia" w:ascii="宋体" w:hAnsi="宋体"/>
                <w:sz w:val="22"/>
              </w:rPr>
              <w:t>设备名称</w:t>
            </w:r>
          </w:p>
        </w:tc>
        <w:tc>
          <w:tcPr>
            <w:tcW w:w="3194" w:type="dxa"/>
            <w:shd w:val="clear" w:color="auto" w:fill="auto"/>
            <w:vAlign w:val="center"/>
          </w:tcPr>
          <w:p>
            <w:pPr>
              <w:pageBreakBefore w:val="0"/>
              <w:kinsoku/>
              <w:wordWrap/>
              <w:overflowPunct/>
              <w:topLinePunct w:val="0"/>
              <w:autoSpaceDE/>
              <w:autoSpaceDN/>
              <w:bidi w:val="0"/>
              <w:adjustRightInd/>
              <w:snapToGrid/>
              <w:ind w:left="0"/>
              <w:jc w:val="center"/>
              <w:textAlignment w:val="auto"/>
              <w:rPr>
                <w:rFonts w:ascii="宋体" w:hAnsi="宋体"/>
                <w:sz w:val="22"/>
              </w:rPr>
            </w:pPr>
            <w:r>
              <w:rPr>
                <w:rFonts w:hint="eastAsia" w:ascii="宋体" w:hAnsi="宋体"/>
                <w:sz w:val="22"/>
              </w:rPr>
              <w:t>型号</w:t>
            </w:r>
          </w:p>
        </w:tc>
        <w:tc>
          <w:tcPr>
            <w:tcW w:w="810" w:type="dxa"/>
            <w:shd w:val="clear" w:color="auto" w:fill="auto"/>
            <w:vAlign w:val="center"/>
          </w:tcPr>
          <w:p>
            <w:pPr>
              <w:pageBreakBefore w:val="0"/>
              <w:kinsoku/>
              <w:wordWrap/>
              <w:overflowPunct/>
              <w:topLinePunct w:val="0"/>
              <w:autoSpaceDE/>
              <w:autoSpaceDN/>
              <w:bidi w:val="0"/>
              <w:adjustRightInd/>
              <w:snapToGrid/>
              <w:ind w:left="0"/>
              <w:jc w:val="center"/>
              <w:textAlignment w:val="auto"/>
              <w:rPr>
                <w:rFonts w:ascii="宋体" w:hAnsi="宋体"/>
                <w:sz w:val="22"/>
              </w:rPr>
            </w:pPr>
            <w:r>
              <w:rPr>
                <w:rFonts w:hint="eastAsia" w:ascii="宋体" w:hAnsi="宋体"/>
                <w:sz w:val="22"/>
              </w:rPr>
              <w:t>数量</w:t>
            </w:r>
          </w:p>
        </w:tc>
        <w:tc>
          <w:tcPr>
            <w:tcW w:w="975" w:type="dxa"/>
            <w:shd w:val="clear" w:color="auto" w:fill="auto"/>
            <w:vAlign w:val="center"/>
          </w:tcPr>
          <w:p>
            <w:pPr>
              <w:pageBreakBefore w:val="0"/>
              <w:kinsoku/>
              <w:wordWrap/>
              <w:overflowPunct/>
              <w:topLinePunct w:val="0"/>
              <w:autoSpaceDE/>
              <w:autoSpaceDN/>
              <w:bidi w:val="0"/>
              <w:adjustRightInd/>
              <w:snapToGrid/>
              <w:ind w:left="0"/>
              <w:jc w:val="center"/>
              <w:textAlignment w:val="auto"/>
              <w:rPr>
                <w:rFonts w:ascii="宋体" w:hAnsi="宋体"/>
                <w:sz w:val="22"/>
              </w:rPr>
            </w:pPr>
            <w:r>
              <w:rPr>
                <w:rFonts w:hint="eastAsia" w:ascii="宋体" w:hAnsi="宋体"/>
                <w:sz w:val="22"/>
              </w:rPr>
              <w:t>单位</w:t>
            </w:r>
          </w:p>
        </w:tc>
        <w:tc>
          <w:tcPr>
            <w:tcW w:w="1695" w:type="dxa"/>
            <w:shd w:val="clear" w:color="auto" w:fill="auto"/>
            <w:vAlign w:val="center"/>
          </w:tcPr>
          <w:p>
            <w:pPr>
              <w:pageBreakBefore w:val="0"/>
              <w:kinsoku/>
              <w:wordWrap/>
              <w:overflowPunct/>
              <w:topLinePunct w:val="0"/>
              <w:autoSpaceDE/>
              <w:autoSpaceDN/>
              <w:bidi w:val="0"/>
              <w:adjustRightInd/>
              <w:snapToGrid/>
              <w:ind w:left="0"/>
              <w:jc w:val="center"/>
              <w:textAlignment w:val="auto"/>
              <w:rPr>
                <w:rFonts w:hint="default" w:ascii="宋体" w:hAnsi="宋体" w:eastAsia="宋体"/>
                <w:sz w:val="22"/>
                <w:lang w:val="en-US" w:eastAsia="zh-CN"/>
              </w:rPr>
            </w:pPr>
            <w:r>
              <w:rPr>
                <w:rFonts w:hint="eastAsia" w:ascii="宋体" w:hAnsi="宋体"/>
                <w:sz w:val="22"/>
                <w:lang w:val="en-US" w:eastAsia="zh-CN"/>
              </w:rPr>
              <w:t>维保报价元/年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807" w:type="dxa"/>
            <w:shd w:val="clear" w:color="auto" w:fill="auto"/>
            <w:vAlign w:val="center"/>
          </w:tcPr>
          <w:p>
            <w:pPr>
              <w:pageBreakBefore w:val="0"/>
              <w:kinsoku/>
              <w:wordWrap/>
              <w:overflowPunct/>
              <w:topLinePunct w:val="0"/>
              <w:autoSpaceDE/>
              <w:autoSpaceDN/>
              <w:bidi w:val="0"/>
              <w:adjustRightInd/>
              <w:snapToGrid/>
              <w:ind w:left="0"/>
              <w:jc w:val="center"/>
              <w:textAlignment w:val="auto"/>
              <w:rPr>
                <w:rFonts w:hint="eastAsia" w:ascii="宋体" w:hAnsi="宋体"/>
                <w:sz w:val="22"/>
                <w:lang w:val="en-US" w:eastAsia="zh-CN"/>
              </w:rPr>
            </w:pPr>
            <w:r>
              <w:rPr>
                <w:rFonts w:hint="eastAsia" w:ascii="宋体" w:hAnsi="宋体"/>
                <w:sz w:val="22"/>
                <w:lang w:val="en-US" w:eastAsia="zh-CN"/>
              </w:rPr>
              <w:t>1</w:t>
            </w:r>
          </w:p>
        </w:tc>
        <w:tc>
          <w:tcPr>
            <w:tcW w:w="1395" w:type="dxa"/>
            <w:shd w:val="clear" w:color="auto" w:fill="auto"/>
            <w:vAlign w:val="center"/>
          </w:tcPr>
          <w:p>
            <w:pPr>
              <w:pageBreakBefore w:val="0"/>
              <w:kinsoku/>
              <w:wordWrap/>
              <w:overflowPunct/>
              <w:topLinePunct w:val="0"/>
              <w:autoSpaceDE/>
              <w:autoSpaceDN/>
              <w:bidi w:val="0"/>
              <w:adjustRightInd/>
              <w:snapToGrid/>
              <w:ind w:left="0"/>
              <w:jc w:val="center"/>
              <w:textAlignment w:val="auto"/>
              <w:rPr>
                <w:rFonts w:hint="eastAsia" w:ascii="宋体" w:hAnsi="宋体"/>
                <w:sz w:val="22"/>
                <w:lang w:val="en-US" w:eastAsia="zh-CN"/>
              </w:rPr>
            </w:pPr>
            <w:r>
              <w:rPr>
                <w:rFonts w:hint="eastAsia" w:ascii="宋体" w:hAnsi="宋体"/>
                <w:sz w:val="22"/>
                <w:lang w:val="en-US" w:eastAsia="zh-CN"/>
              </w:rPr>
              <w:t>开利舒适性空调主机</w:t>
            </w:r>
          </w:p>
        </w:tc>
        <w:tc>
          <w:tcPr>
            <w:tcW w:w="3194" w:type="dxa"/>
            <w:shd w:val="clear" w:color="auto" w:fill="auto"/>
            <w:vAlign w:val="center"/>
          </w:tcPr>
          <w:p>
            <w:pPr>
              <w:pageBreakBefore w:val="0"/>
              <w:kinsoku/>
              <w:wordWrap/>
              <w:overflowPunct/>
              <w:topLinePunct w:val="0"/>
              <w:autoSpaceDE/>
              <w:autoSpaceDN/>
              <w:bidi w:val="0"/>
              <w:adjustRightInd/>
              <w:snapToGrid/>
              <w:ind w:left="0"/>
              <w:jc w:val="center"/>
              <w:textAlignment w:val="auto"/>
              <w:rPr>
                <w:rFonts w:hint="eastAsia" w:ascii="宋体" w:hAnsi="宋体"/>
                <w:sz w:val="22"/>
                <w:lang w:val="en-US" w:eastAsia="zh-CN"/>
              </w:rPr>
            </w:pPr>
            <w:r>
              <w:rPr>
                <w:rFonts w:hint="eastAsia" w:ascii="宋体" w:hAnsi="宋体"/>
                <w:sz w:val="22"/>
                <w:lang w:val="en-US" w:eastAsia="zh-CN"/>
              </w:rPr>
              <w:t>开利30XQ1090</w:t>
            </w:r>
          </w:p>
        </w:tc>
        <w:tc>
          <w:tcPr>
            <w:tcW w:w="810" w:type="dxa"/>
            <w:shd w:val="clear" w:color="auto" w:fill="auto"/>
            <w:vAlign w:val="center"/>
          </w:tcPr>
          <w:p>
            <w:pPr>
              <w:pageBreakBefore w:val="0"/>
              <w:kinsoku/>
              <w:wordWrap/>
              <w:overflowPunct/>
              <w:topLinePunct w:val="0"/>
              <w:autoSpaceDE/>
              <w:autoSpaceDN/>
              <w:bidi w:val="0"/>
              <w:adjustRightInd/>
              <w:snapToGrid/>
              <w:ind w:left="0"/>
              <w:jc w:val="center"/>
              <w:textAlignment w:val="auto"/>
              <w:rPr>
                <w:rFonts w:hint="eastAsia" w:ascii="宋体" w:hAnsi="宋体"/>
                <w:sz w:val="22"/>
                <w:lang w:val="en-US" w:eastAsia="zh-CN"/>
              </w:rPr>
            </w:pPr>
            <w:r>
              <w:rPr>
                <w:rFonts w:hint="eastAsia" w:ascii="宋体" w:hAnsi="宋体"/>
                <w:sz w:val="22"/>
                <w:lang w:val="en-US" w:eastAsia="zh-CN"/>
              </w:rPr>
              <w:t>3</w:t>
            </w:r>
          </w:p>
        </w:tc>
        <w:tc>
          <w:tcPr>
            <w:tcW w:w="975" w:type="dxa"/>
            <w:shd w:val="clear" w:color="auto" w:fill="auto"/>
            <w:vAlign w:val="center"/>
          </w:tcPr>
          <w:p>
            <w:pPr>
              <w:pageBreakBefore w:val="0"/>
              <w:kinsoku/>
              <w:wordWrap/>
              <w:overflowPunct/>
              <w:topLinePunct w:val="0"/>
              <w:autoSpaceDE/>
              <w:autoSpaceDN/>
              <w:bidi w:val="0"/>
              <w:adjustRightInd/>
              <w:snapToGrid/>
              <w:ind w:left="0"/>
              <w:jc w:val="center"/>
              <w:textAlignment w:val="auto"/>
              <w:rPr>
                <w:rFonts w:hint="eastAsia" w:ascii="宋体" w:hAnsi="宋体"/>
                <w:sz w:val="22"/>
                <w:lang w:val="en-US" w:eastAsia="zh-CN"/>
              </w:rPr>
            </w:pPr>
            <w:r>
              <w:rPr>
                <w:rFonts w:hint="eastAsia" w:ascii="宋体" w:hAnsi="宋体"/>
                <w:sz w:val="22"/>
                <w:lang w:val="en-US" w:eastAsia="zh-CN"/>
              </w:rPr>
              <w:t>台</w:t>
            </w:r>
          </w:p>
        </w:tc>
        <w:tc>
          <w:tcPr>
            <w:tcW w:w="1695" w:type="dxa"/>
            <w:shd w:val="clear" w:color="auto" w:fill="auto"/>
            <w:vAlign w:val="center"/>
          </w:tcPr>
          <w:p>
            <w:pPr>
              <w:pageBreakBefore w:val="0"/>
              <w:kinsoku/>
              <w:wordWrap/>
              <w:overflowPunct/>
              <w:topLinePunct w:val="0"/>
              <w:autoSpaceDE/>
              <w:autoSpaceDN/>
              <w:bidi w:val="0"/>
              <w:adjustRightInd/>
              <w:snapToGrid/>
              <w:ind w:left="0"/>
              <w:jc w:val="center"/>
              <w:textAlignment w:val="auto"/>
              <w:rPr>
                <w:rFonts w:hint="eastAsia" w:ascii="宋体" w:hAnsi="宋体"/>
                <w:sz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807" w:type="dxa"/>
            <w:shd w:val="clear" w:color="auto" w:fill="auto"/>
            <w:vAlign w:val="center"/>
          </w:tcPr>
          <w:p>
            <w:pPr>
              <w:pageBreakBefore w:val="0"/>
              <w:kinsoku/>
              <w:wordWrap/>
              <w:overflowPunct/>
              <w:topLinePunct w:val="0"/>
              <w:autoSpaceDE/>
              <w:autoSpaceDN/>
              <w:bidi w:val="0"/>
              <w:adjustRightInd/>
              <w:snapToGrid/>
              <w:ind w:left="0"/>
              <w:jc w:val="center"/>
              <w:textAlignment w:val="auto"/>
              <w:rPr>
                <w:rFonts w:hint="eastAsia" w:ascii="宋体" w:hAnsi="宋体"/>
                <w:sz w:val="22"/>
                <w:lang w:val="en-US" w:eastAsia="zh-CN"/>
              </w:rPr>
            </w:pPr>
            <w:r>
              <w:rPr>
                <w:rFonts w:hint="eastAsia" w:ascii="宋体" w:hAnsi="宋体"/>
                <w:sz w:val="22"/>
                <w:lang w:val="en-US" w:eastAsia="zh-CN"/>
              </w:rPr>
              <w:t>2</w:t>
            </w:r>
          </w:p>
        </w:tc>
        <w:tc>
          <w:tcPr>
            <w:tcW w:w="1395" w:type="dxa"/>
            <w:shd w:val="clear" w:color="auto" w:fill="auto"/>
            <w:vAlign w:val="center"/>
          </w:tcPr>
          <w:p>
            <w:pPr>
              <w:pageBreakBefore w:val="0"/>
              <w:kinsoku/>
              <w:wordWrap/>
              <w:overflowPunct/>
              <w:topLinePunct w:val="0"/>
              <w:autoSpaceDE/>
              <w:autoSpaceDN/>
              <w:bidi w:val="0"/>
              <w:adjustRightInd/>
              <w:snapToGrid/>
              <w:ind w:left="0"/>
              <w:jc w:val="center"/>
              <w:textAlignment w:val="auto"/>
              <w:rPr>
                <w:rFonts w:hint="eastAsia" w:ascii="宋体" w:hAnsi="宋体"/>
                <w:sz w:val="22"/>
                <w:lang w:val="en-US" w:eastAsia="zh-CN"/>
              </w:rPr>
            </w:pPr>
            <w:r>
              <w:rPr>
                <w:rFonts w:hint="eastAsia" w:ascii="宋体" w:hAnsi="宋体"/>
                <w:sz w:val="22"/>
                <w:lang w:val="en-US" w:eastAsia="zh-CN"/>
              </w:rPr>
              <w:t>开利恒温恒湿空调主机</w:t>
            </w:r>
          </w:p>
        </w:tc>
        <w:tc>
          <w:tcPr>
            <w:tcW w:w="3194" w:type="dxa"/>
            <w:shd w:val="clear" w:color="auto" w:fill="auto"/>
            <w:vAlign w:val="center"/>
          </w:tcPr>
          <w:p>
            <w:pPr>
              <w:pageBreakBefore w:val="0"/>
              <w:kinsoku/>
              <w:wordWrap/>
              <w:overflowPunct/>
              <w:topLinePunct w:val="0"/>
              <w:autoSpaceDE/>
              <w:autoSpaceDN/>
              <w:bidi w:val="0"/>
              <w:adjustRightInd/>
              <w:snapToGrid/>
              <w:ind w:left="0"/>
              <w:jc w:val="center"/>
              <w:textAlignment w:val="auto"/>
              <w:rPr>
                <w:rFonts w:hint="eastAsia" w:ascii="宋体" w:hAnsi="宋体"/>
                <w:sz w:val="22"/>
                <w:lang w:val="en-US" w:eastAsia="zh-CN"/>
              </w:rPr>
            </w:pPr>
            <w:r>
              <w:rPr>
                <w:rFonts w:hint="eastAsia" w:ascii="宋体" w:hAnsi="宋体"/>
                <w:sz w:val="22"/>
                <w:lang w:val="en-US" w:eastAsia="zh-CN"/>
              </w:rPr>
              <w:t>开利恒温恒湿30RQ232</w:t>
            </w:r>
          </w:p>
        </w:tc>
        <w:tc>
          <w:tcPr>
            <w:tcW w:w="810" w:type="dxa"/>
            <w:shd w:val="clear" w:color="auto" w:fill="auto"/>
            <w:vAlign w:val="center"/>
          </w:tcPr>
          <w:p>
            <w:pPr>
              <w:pageBreakBefore w:val="0"/>
              <w:kinsoku/>
              <w:wordWrap/>
              <w:overflowPunct/>
              <w:topLinePunct w:val="0"/>
              <w:autoSpaceDE/>
              <w:autoSpaceDN/>
              <w:bidi w:val="0"/>
              <w:adjustRightInd/>
              <w:snapToGrid/>
              <w:ind w:left="0"/>
              <w:jc w:val="center"/>
              <w:textAlignment w:val="auto"/>
              <w:rPr>
                <w:rFonts w:hint="eastAsia" w:ascii="宋体" w:hAnsi="宋体"/>
                <w:sz w:val="22"/>
                <w:lang w:val="en-US" w:eastAsia="zh-CN"/>
              </w:rPr>
            </w:pPr>
            <w:r>
              <w:rPr>
                <w:rFonts w:hint="eastAsia" w:ascii="宋体" w:hAnsi="宋体"/>
                <w:sz w:val="22"/>
                <w:lang w:val="en-US" w:eastAsia="zh-CN"/>
              </w:rPr>
              <w:t>4</w:t>
            </w:r>
          </w:p>
        </w:tc>
        <w:tc>
          <w:tcPr>
            <w:tcW w:w="975" w:type="dxa"/>
            <w:shd w:val="clear" w:color="auto" w:fill="auto"/>
            <w:vAlign w:val="center"/>
          </w:tcPr>
          <w:p>
            <w:pPr>
              <w:pageBreakBefore w:val="0"/>
              <w:kinsoku/>
              <w:wordWrap/>
              <w:overflowPunct/>
              <w:topLinePunct w:val="0"/>
              <w:autoSpaceDE/>
              <w:autoSpaceDN/>
              <w:bidi w:val="0"/>
              <w:adjustRightInd/>
              <w:snapToGrid/>
              <w:ind w:left="0"/>
              <w:jc w:val="center"/>
              <w:textAlignment w:val="auto"/>
              <w:rPr>
                <w:rFonts w:hint="eastAsia" w:ascii="宋体" w:hAnsi="宋体"/>
                <w:sz w:val="22"/>
                <w:lang w:val="en-US" w:eastAsia="zh-CN"/>
              </w:rPr>
            </w:pPr>
            <w:r>
              <w:rPr>
                <w:rFonts w:hint="eastAsia" w:ascii="宋体" w:hAnsi="宋体"/>
                <w:sz w:val="22"/>
                <w:lang w:val="en-US" w:eastAsia="zh-CN"/>
              </w:rPr>
              <w:t>台</w:t>
            </w:r>
          </w:p>
        </w:tc>
        <w:tc>
          <w:tcPr>
            <w:tcW w:w="1695" w:type="dxa"/>
            <w:shd w:val="clear" w:color="auto" w:fill="auto"/>
            <w:vAlign w:val="center"/>
          </w:tcPr>
          <w:p>
            <w:pPr>
              <w:pageBreakBefore w:val="0"/>
              <w:kinsoku/>
              <w:wordWrap/>
              <w:overflowPunct/>
              <w:topLinePunct w:val="0"/>
              <w:autoSpaceDE/>
              <w:autoSpaceDN/>
              <w:bidi w:val="0"/>
              <w:adjustRightInd/>
              <w:snapToGrid/>
              <w:ind w:left="0"/>
              <w:jc w:val="center"/>
              <w:textAlignment w:val="auto"/>
              <w:rPr>
                <w:rFonts w:hint="eastAsia" w:ascii="宋体" w:hAnsi="宋体"/>
                <w:sz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807" w:type="dxa"/>
            <w:shd w:val="clear" w:color="auto" w:fill="auto"/>
            <w:vAlign w:val="center"/>
          </w:tcPr>
          <w:p>
            <w:pPr>
              <w:pageBreakBefore w:val="0"/>
              <w:kinsoku/>
              <w:wordWrap/>
              <w:overflowPunct/>
              <w:topLinePunct w:val="0"/>
              <w:autoSpaceDE/>
              <w:autoSpaceDN/>
              <w:bidi w:val="0"/>
              <w:adjustRightInd/>
              <w:snapToGrid/>
              <w:ind w:left="0"/>
              <w:jc w:val="center"/>
              <w:textAlignment w:val="auto"/>
              <w:rPr>
                <w:rFonts w:hint="eastAsia" w:ascii="宋体" w:hAnsi="宋体"/>
                <w:sz w:val="22"/>
                <w:lang w:val="en-US" w:eastAsia="zh-CN"/>
              </w:rPr>
            </w:pPr>
            <w:bookmarkStart w:id="4" w:name="_Toc316292050"/>
            <w:bookmarkEnd w:id="4"/>
            <w:bookmarkStart w:id="5" w:name="_Toc315871050"/>
            <w:bookmarkEnd w:id="5"/>
            <w:bookmarkStart w:id="6" w:name="_Toc315871046"/>
            <w:bookmarkEnd w:id="6"/>
            <w:bookmarkStart w:id="7" w:name="_Toc316292051"/>
            <w:bookmarkEnd w:id="7"/>
            <w:bookmarkStart w:id="8" w:name="_Toc315871049"/>
            <w:bookmarkEnd w:id="8"/>
            <w:bookmarkStart w:id="9" w:name="_Toc316292052"/>
            <w:bookmarkEnd w:id="9"/>
            <w:bookmarkStart w:id="10" w:name="_Toc316292048"/>
            <w:bookmarkEnd w:id="10"/>
            <w:bookmarkStart w:id="11" w:name="_Toc316292049"/>
            <w:bookmarkEnd w:id="11"/>
            <w:bookmarkStart w:id="12" w:name="_Toc315871047"/>
            <w:bookmarkEnd w:id="12"/>
            <w:bookmarkStart w:id="13" w:name="_Toc315871048"/>
            <w:bookmarkEnd w:id="13"/>
            <w:bookmarkStart w:id="14" w:name="_Toc315871045"/>
            <w:bookmarkEnd w:id="14"/>
            <w:bookmarkStart w:id="15" w:name="_Toc316292231"/>
            <w:bookmarkStart w:id="16" w:name="_Toc321382057"/>
            <w:bookmarkStart w:id="17" w:name="_Toc410636539"/>
            <w:r>
              <w:rPr>
                <w:rFonts w:hint="eastAsia" w:ascii="宋体" w:hAnsi="宋体"/>
                <w:sz w:val="22"/>
                <w:lang w:val="en-US" w:eastAsia="zh-CN"/>
              </w:rPr>
              <w:t>3</w:t>
            </w:r>
          </w:p>
        </w:tc>
        <w:tc>
          <w:tcPr>
            <w:tcW w:w="1395" w:type="dxa"/>
            <w:shd w:val="clear" w:color="auto" w:fill="auto"/>
            <w:vAlign w:val="center"/>
          </w:tcPr>
          <w:p>
            <w:pPr>
              <w:pageBreakBefore w:val="0"/>
              <w:kinsoku/>
              <w:wordWrap/>
              <w:overflowPunct/>
              <w:topLinePunct w:val="0"/>
              <w:autoSpaceDE/>
              <w:autoSpaceDN/>
              <w:bidi w:val="0"/>
              <w:adjustRightInd/>
              <w:snapToGrid/>
              <w:ind w:left="0"/>
              <w:jc w:val="center"/>
              <w:textAlignment w:val="auto"/>
              <w:rPr>
                <w:rFonts w:hint="eastAsia" w:ascii="宋体" w:hAnsi="宋体"/>
                <w:sz w:val="22"/>
                <w:lang w:val="en-US" w:eastAsia="zh-CN"/>
              </w:rPr>
            </w:pPr>
            <w:r>
              <w:rPr>
                <w:rFonts w:hint="eastAsia" w:ascii="宋体" w:hAnsi="宋体"/>
                <w:sz w:val="22"/>
                <w:lang w:val="en-US" w:eastAsia="zh-CN"/>
              </w:rPr>
              <w:t>中央空调配套系统</w:t>
            </w:r>
          </w:p>
        </w:tc>
        <w:tc>
          <w:tcPr>
            <w:tcW w:w="3194" w:type="dxa"/>
            <w:shd w:val="clear" w:color="auto" w:fill="auto"/>
            <w:vAlign w:val="center"/>
          </w:tcPr>
          <w:p>
            <w:pPr>
              <w:pageBreakBefore w:val="0"/>
              <w:kinsoku/>
              <w:wordWrap/>
              <w:overflowPunct/>
              <w:topLinePunct w:val="0"/>
              <w:autoSpaceDE/>
              <w:autoSpaceDN/>
              <w:bidi w:val="0"/>
              <w:adjustRightInd/>
              <w:snapToGrid/>
              <w:ind w:left="0"/>
              <w:jc w:val="center"/>
              <w:textAlignment w:val="auto"/>
              <w:rPr>
                <w:rFonts w:hint="eastAsia" w:ascii="宋体" w:hAnsi="宋体"/>
                <w:sz w:val="22"/>
                <w:lang w:val="en-US" w:eastAsia="zh-CN"/>
              </w:rPr>
            </w:pPr>
            <w:r>
              <w:rPr>
                <w:rFonts w:hint="eastAsia" w:ascii="宋体" w:hAnsi="宋体"/>
                <w:sz w:val="22"/>
                <w:lang w:val="en-US" w:eastAsia="zh-CN"/>
              </w:rPr>
              <w:t>水系统</w:t>
            </w:r>
          </w:p>
        </w:tc>
        <w:tc>
          <w:tcPr>
            <w:tcW w:w="810" w:type="dxa"/>
            <w:shd w:val="clear" w:color="auto" w:fill="auto"/>
            <w:vAlign w:val="center"/>
          </w:tcPr>
          <w:p>
            <w:pPr>
              <w:pageBreakBefore w:val="0"/>
              <w:kinsoku/>
              <w:wordWrap/>
              <w:overflowPunct/>
              <w:topLinePunct w:val="0"/>
              <w:autoSpaceDE/>
              <w:autoSpaceDN/>
              <w:bidi w:val="0"/>
              <w:adjustRightInd/>
              <w:snapToGrid/>
              <w:ind w:left="0"/>
              <w:jc w:val="center"/>
              <w:textAlignment w:val="auto"/>
              <w:rPr>
                <w:rFonts w:hint="eastAsia" w:ascii="宋体" w:hAnsi="宋体"/>
                <w:sz w:val="22"/>
                <w:lang w:val="en-US" w:eastAsia="zh-CN"/>
              </w:rPr>
            </w:pPr>
            <w:r>
              <w:rPr>
                <w:rFonts w:hint="eastAsia" w:ascii="宋体" w:hAnsi="宋体"/>
                <w:sz w:val="22"/>
                <w:lang w:val="en-US" w:eastAsia="zh-CN"/>
              </w:rPr>
              <w:t>2</w:t>
            </w:r>
          </w:p>
        </w:tc>
        <w:tc>
          <w:tcPr>
            <w:tcW w:w="975" w:type="dxa"/>
            <w:shd w:val="clear" w:color="auto" w:fill="auto"/>
            <w:vAlign w:val="center"/>
          </w:tcPr>
          <w:p>
            <w:pPr>
              <w:pageBreakBefore w:val="0"/>
              <w:kinsoku/>
              <w:wordWrap/>
              <w:overflowPunct/>
              <w:topLinePunct w:val="0"/>
              <w:autoSpaceDE/>
              <w:autoSpaceDN/>
              <w:bidi w:val="0"/>
              <w:adjustRightInd/>
              <w:snapToGrid/>
              <w:ind w:left="0"/>
              <w:jc w:val="center"/>
              <w:textAlignment w:val="auto"/>
              <w:rPr>
                <w:rFonts w:hint="eastAsia" w:ascii="宋体" w:hAnsi="宋体"/>
                <w:sz w:val="22"/>
                <w:lang w:val="en-US" w:eastAsia="zh-CN"/>
              </w:rPr>
            </w:pPr>
            <w:r>
              <w:rPr>
                <w:rFonts w:hint="eastAsia" w:ascii="宋体" w:hAnsi="宋体"/>
                <w:sz w:val="22"/>
                <w:lang w:val="en-US" w:eastAsia="zh-CN"/>
              </w:rPr>
              <w:t>套</w:t>
            </w:r>
          </w:p>
        </w:tc>
        <w:tc>
          <w:tcPr>
            <w:tcW w:w="1695" w:type="dxa"/>
            <w:shd w:val="clear" w:color="auto" w:fill="auto"/>
            <w:vAlign w:val="center"/>
          </w:tcPr>
          <w:p>
            <w:pPr>
              <w:pageBreakBefore w:val="0"/>
              <w:kinsoku/>
              <w:wordWrap/>
              <w:overflowPunct/>
              <w:topLinePunct w:val="0"/>
              <w:autoSpaceDE/>
              <w:autoSpaceDN/>
              <w:bidi w:val="0"/>
              <w:adjustRightInd/>
              <w:snapToGrid/>
              <w:ind w:left="0"/>
              <w:jc w:val="center"/>
              <w:textAlignment w:val="auto"/>
              <w:rPr>
                <w:rFonts w:hint="eastAsia" w:ascii="宋体" w:hAnsi="宋体"/>
                <w:sz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807" w:type="dxa"/>
            <w:shd w:val="clear" w:color="auto" w:fill="auto"/>
            <w:vAlign w:val="center"/>
          </w:tcPr>
          <w:p>
            <w:pPr>
              <w:pageBreakBefore w:val="0"/>
              <w:kinsoku/>
              <w:wordWrap/>
              <w:overflowPunct/>
              <w:topLinePunct w:val="0"/>
              <w:autoSpaceDE/>
              <w:autoSpaceDN/>
              <w:bidi w:val="0"/>
              <w:adjustRightInd/>
              <w:snapToGrid/>
              <w:ind w:left="0"/>
              <w:jc w:val="center"/>
              <w:textAlignment w:val="auto"/>
              <w:rPr>
                <w:rFonts w:hint="eastAsia" w:ascii="宋体" w:hAnsi="宋体"/>
                <w:sz w:val="22"/>
                <w:lang w:val="en-US" w:eastAsia="zh-CN"/>
              </w:rPr>
            </w:pPr>
            <w:r>
              <w:rPr>
                <w:rFonts w:hint="eastAsia" w:ascii="宋体" w:hAnsi="宋体"/>
                <w:sz w:val="22"/>
                <w:lang w:val="en-US" w:eastAsia="zh-CN"/>
              </w:rPr>
              <w:t>4</w:t>
            </w:r>
          </w:p>
        </w:tc>
        <w:tc>
          <w:tcPr>
            <w:tcW w:w="1395" w:type="dxa"/>
            <w:shd w:val="clear" w:color="auto" w:fill="auto"/>
            <w:vAlign w:val="center"/>
          </w:tcPr>
          <w:p>
            <w:pPr>
              <w:pageBreakBefore w:val="0"/>
              <w:kinsoku/>
              <w:wordWrap/>
              <w:overflowPunct/>
              <w:topLinePunct w:val="0"/>
              <w:autoSpaceDE/>
              <w:autoSpaceDN/>
              <w:bidi w:val="0"/>
              <w:adjustRightInd/>
              <w:snapToGrid/>
              <w:ind w:left="0"/>
              <w:jc w:val="center"/>
              <w:textAlignment w:val="auto"/>
              <w:rPr>
                <w:rFonts w:hint="default" w:ascii="宋体" w:hAnsi="宋体"/>
                <w:sz w:val="22"/>
                <w:lang w:val="en-US" w:eastAsia="zh-CN"/>
              </w:rPr>
            </w:pPr>
            <w:r>
              <w:rPr>
                <w:rFonts w:hint="eastAsia" w:ascii="宋体" w:hAnsi="宋体"/>
                <w:sz w:val="22"/>
                <w:lang w:val="en-US" w:eastAsia="zh-CN"/>
              </w:rPr>
              <w:t>弱电设备间空调机组</w:t>
            </w:r>
          </w:p>
        </w:tc>
        <w:tc>
          <w:tcPr>
            <w:tcW w:w="3194" w:type="dxa"/>
            <w:shd w:val="clear" w:color="auto" w:fill="auto"/>
            <w:vAlign w:val="center"/>
          </w:tcPr>
          <w:p>
            <w:pPr>
              <w:pageBreakBefore w:val="0"/>
              <w:kinsoku/>
              <w:wordWrap/>
              <w:overflowPunct/>
              <w:topLinePunct w:val="0"/>
              <w:autoSpaceDE/>
              <w:autoSpaceDN/>
              <w:bidi w:val="0"/>
              <w:adjustRightInd/>
              <w:snapToGrid/>
              <w:ind w:left="0"/>
              <w:jc w:val="center"/>
              <w:textAlignment w:val="auto"/>
              <w:rPr>
                <w:rFonts w:hint="eastAsia" w:ascii="宋体" w:hAnsi="宋体"/>
                <w:sz w:val="22"/>
                <w:lang w:val="en-US" w:eastAsia="zh-CN"/>
              </w:rPr>
            </w:pPr>
            <w:r>
              <w:rPr>
                <w:rFonts w:hint="eastAsia" w:ascii="宋体" w:hAnsi="宋体"/>
                <w:sz w:val="22"/>
                <w:lang w:val="en-US" w:eastAsia="zh-CN"/>
              </w:rPr>
              <w:t>施耐德恒温恒湿空调</w:t>
            </w:r>
          </w:p>
          <w:p>
            <w:pPr>
              <w:pageBreakBefore w:val="0"/>
              <w:kinsoku/>
              <w:wordWrap/>
              <w:overflowPunct/>
              <w:topLinePunct w:val="0"/>
              <w:autoSpaceDE/>
              <w:autoSpaceDN/>
              <w:bidi w:val="0"/>
              <w:adjustRightInd/>
              <w:snapToGrid/>
              <w:ind w:left="0"/>
              <w:jc w:val="center"/>
              <w:textAlignment w:val="auto"/>
              <w:rPr>
                <w:rFonts w:hint="eastAsia" w:ascii="宋体" w:hAnsi="宋体"/>
                <w:sz w:val="22"/>
                <w:lang w:val="en-US" w:eastAsia="zh-CN"/>
              </w:rPr>
            </w:pPr>
            <w:r>
              <w:rPr>
                <w:rFonts w:hint="eastAsia" w:ascii="宋体" w:hAnsi="宋体"/>
                <w:sz w:val="22"/>
                <w:lang w:val="en-US" w:eastAsia="zh-CN"/>
              </w:rPr>
              <w:t>TDAR1422（1套）、</w:t>
            </w:r>
          </w:p>
          <w:p>
            <w:pPr>
              <w:pageBreakBefore w:val="0"/>
              <w:kinsoku/>
              <w:wordWrap/>
              <w:overflowPunct/>
              <w:topLinePunct w:val="0"/>
              <w:autoSpaceDE/>
              <w:autoSpaceDN/>
              <w:bidi w:val="0"/>
              <w:adjustRightInd/>
              <w:snapToGrid/>
              <w:ind w:left="0"/>
              <w:jc w:val="center"/>
              <w:textAlignment w:val="auto"/>
              <w:rPr>
                <w:rFonts w:hint="default" w:ascii="宋体" w:hAnsi="宋体"/>
                <w:sz w:val="22"/>
                <w:lang w:val="en-US" w:eastAsia="zh-CN"/>
              </w:rPr>
            </w:pPr>
            <w:r>
              <w:rPr>
                <w:rFonts w:hint="eastAsia" w:ascii="宋体" w:hAnsi="宋体"/>
                <w:sz w:val="22"/>
                <w:lang w:val="en-US" w:eastAsia="zh-CN"/>
              </w:rPr>
              <w:t>MGE Galaxy 5500（1套）</w:t>
            </w:r>
          </w:p>
        </w:tc>
        <w:tc>
          <w:tcPr>
            <w:tcW w:w="810" w:type="dxa"/>
            <w:shd w:val="clear" w:color="auto" w:fill="auto"/>
            <w:vAlign w:val="center"/>
          </w:tcPr>
          <w:p>
            <w:pPr>
              <w:pageBreakBefore w:val="0"/>
              <w:kinsoku/>
              <w:wordWrap/>
              <w:overflowPunct/>
              <w:topLinePunct w:val="0"/>
              <w:autoSpaceDE/>
              <w:autoSpaceDN/>
              <w:bidi w:val="0"/>
              <w:adjustRightInd/>
              <w:snapToGrid/>
              <w:ind w:left="0"/>
              <w:jc w:val="center"/>
              <w:textAlignment w:val="auto"/>
              <w:rPr>
                <w:rFonts w:hint="eastAsia" w:ascii="宋体" w:hAnsi="宋体"/>
                <w:sz w:val="22"/>
                <w:lang w:val="en-US" w:eastAsia="zh-CN"/>
              </w:rPr>
            </w:pPr>
            <w:r>
              <w:rPr>
                <w:rFonts w:hint="eastAsia" w:ascii="宋体" w:hAnsi="宋体"/>
                <w:sz w:val="22"/>
                <w:lang w:val="en-US" w:eastAsia="zh-CN"/>
              </w:rPr>
              <w:t>2</w:t>
            </w:r>
          </w:p>
        </w:tc>
        <w:tc>
          <w:tcPr>
            <w:tcW w:w="975" w:type="dxa"/>
            <w:shd w:val="clear" w:color="auto" w:fill="auto"/>
            <w:vAlign w:val="center"/>
          </w:tcPr>
          <w:p>
            <w:pPr>
              <w:pageBreakBefore w:val="0"/>
              <w:kinsoku/>
              <w:wordWrap/>
              <w:overflowPunct/>
              <w:topLinePunct w:val="0"/>
              <w:autoSpaceDE/>
              <w:autoSpaceDN/>
              <w:bidi w:val="0"/>
              <w:adjustRightInd/>
              <w:snapToGrid/>
              <w:ind w:left="0"/>
              <w:jc w:val="center"/>
              <w:textAlignment w:val="auto"/>
              <w:rPr>
                <w:rFonts w:hint="eastAsia" w:ascii="宋体" w:hAnsi="宋体"/>
                <w:sz w:val="22"/>
                <w:lang w:val="en-US" w:eastAsia="zh-CN"/>
              </w:rPr>
            </w:pPr>
            <w:r>
              <w:rPr>
                <w:rFonts w:hint="eastAsia" w:ascii="宋体" w:hAnsi="宋体"/>
                <w:sz w:val="22"/>
                <w:lang w:val="en-US" w:eastAsia="zh-CN"/>
              </w:rPr>
              <w:t>套</w:t>
            </w:r>
          </w:p>
        </w:tc>
        <w:tc>
          <w:tcPr>
            <w:tcW w:w="1695" w:type="dxa"/>
            <w:shd w:val="clear" w:color="auto" w:fill="auto"/>
            <w:vAlign w:val="center"/>
          </w:tcPr>
          <w:p>
            <w:pPr>
              <w:pageBreakBefore w:val="0"/>
              <w:kinsoku/>
              <w:wordWrap/>
              <w:overflowPunct/>
              <w:topLinePunct w:val="0"/>
              <w:autoSpaceDE/>
              <w:autoSpaceDN/>
              <w:bidi w:val="0"/>
              <w:adjustRightInd/>
              <w:snapToGrid/>
              <w:ind w:left="0"/>
              <w:jc w:val="center"/>
              <w:textAlignment w:val="auto"/>
              <w:rPr>
                <w:rFonts w:hint="default" w:ascii="宋体" w:hAnsi="宋体"/>
                <w:sz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7181" w:type="dxa"/>
            <w:gridSpan w:val="5"/>
            <w:shd w:val="clear" w:color="auto" w:fill="auto"/>
            <w:vAlign w:val="center"/>
          </w:tcPr>
          <w:p>
            <w:pPr>
              <w:pageBreakBefore w:val="0"/>
              <w:kinsoku/>
              <w:wordWrap/>
              <w:overflowPunct/>
              <w:topLinePunct w:val="0"/>
              <w:autoSpaceDE/>
              <w:autoSpaceDN/>
              <w:bidi w:val="0"/>
              <w:adjustRightInd/>
              <w:snapToGrid/>
              <w:ind w:left="0"/>
              <w:jc w:val="both"/>
              <w:textAlignment w:val="auto"/>
              <w:rPr>
                <w:rFonts w:hint="eastAsia" w:ascii="宋体" w:hAnsi="宋体"/>
                <w:sz w:val="22"/>
                <w:lang w:val="en-US" w:eastAsia="zh-CN"/>
              </w:rPr>
            </w:pPr>
            <w:r>
              <w:rPr>
                <w:rFonts w:hint="eastAsia" w:ascii="宋体" w:hAnsi="宋体"/>
                <w:sz w:val="22"/>
                <w:lang w:val="en-US" w:eastAsia="zh-CN"/>
              </w:rPr>
              <w:t>合计</w:t>
            </w:r>
          </w:p>
        </w:tc>
        <w:tc>
          <w:tcPr>
            <w:tcW w:w="1695" w:type="dxa"/>
            <w:shd w:val="clear" w:color="auto" w:fill="auto"/>
            <w:vAlign w:val="center"/>
          </w:tcPr>
          <w:p>
            <w:pPr>
              <w:pageBreakBefore w:val="0"/>
              <w:kinsoku/>
              <w:wordWrap/>
              <w:overflowPunct/>
              <w:topLinePunct w:val="0"/>
              <w:autoSpaceDE/>
              <w:autoSpaceDN/>
              <w:bidi w:val="0"/>
              <w:adjustRightInd/>
              <w:snapToGrid/>
              <w:ind w:left="0"/>
              <w:jc w:val="both"/>
              <w:textAlignment w:val="auto"/>
              <w:rPr>
                <w:rFonts w:hint="eastAsia" w:ascii="宋体" w:hAnsi="宋体"/>
                <w:sz w:val="22"/>
                <w:lang w:val="en-US" w:eastAsia="zh-CN"/>
              </w:rPr>
            </w:pPr>
          </w:p>
        </w:tc>
      </w:tr>
    </w:tbl>
    <w:p>
      <w:pPr>
        <w:pStyle w:val="4"/>
        <w:pageBreakBefore w:val="0"/>
        <w:widowControl w:val="0"/>
        <w:numPr>
          <w:ilvl w:val="0"/>
          <w:numId w:val="0"/>
        </w:numPr>
        <w:kinsoku/>
        <w:wordWrap/>
        <w:overflowPunct/>
        <w:topLinePunct w:val="0"/>
        <w:autoSpaceDE/>
        <w:autoSpaceDN/>
        <w:bidi w:val="0"/>
        <w:adjustRightInd/>
        <w:snapToGrid/>
        <w:spacing w:before="0" w:after="0" w:line="560" w:lineRule="exact"/>
        <w:ind w:left="0" w:firstLine="640" w:firstLineChars="200"/>
        <w:jc w:val="left"/>
        <w:textAlignment w:val="auto"/>
        <w:rPr>
          <w:rFonts w:hint="default" w:ascii="黑体" w:hAnsi="黑体" w:eastAsia="黑体" w:cs="黑体"/>
          <w:b w:val="0"/>
          <w:bCs w:val="0"/>
          <w:spacing w:val="0"/>
          <w:kern w:val="2"/>
          <w:sz w:val="32"/>
          <w:szCs w:val="32"/>
          <w:highlight w:val="none"/>
          <w:lang w:val="en-US" w:eastAsia="zh-CN" w:bidi="ar-SA"/>
        </w:rPr>
      </w:pPr>
      <w:r>
        <w:rPr>
          <w:rFonts w:hint="eastAsia" w:ascii="黑体" w:hAnsi="黑体" w:eastAsia="黑体" w:cs="黑体"/>
          <w:b w:val="0"/>
          <w:bCs w:val="0"/>
          <w:spacing w:val="0"/>
          <w:kern w:val="2"/>
          <w:sz w:val="32"/>
          <w:szCs w:val="32"/>
          <w:highlight w:val="none"/>
          <w:lang w:val="en-US" w:eastAsia="zh-CN" w:bidi="ar-SA"/>
        </w:rPr>
        <w:t>三、服务要求</w:t>
      </w:r>
    </w:p>
    <w:p>
      <w:pPr>
        <w:pStyle w:val="4"/>
        <w:pageBreakBefore w:val="0"/>
        <w:widowControl w:val="0"/>
        <w:numPr>
          <w:ilvl w:val="0"/>
          <w:numId w:val="0"/>
        </w:numPr>
        <w:kinsoku/>
        <w:wordWrap/>
        <w:overflowPunct/>
        <w:topLinePunct w:val="0"/>
        <w:autoSpaceDE/>
        <w:autoSpaceDN/>
        <w:bidi w:val="0"/>
        <w:adjustRightInd/>
        <w:snapToGrid/>
        <w:spacing w:before="0" w:after="0" w:line="560" w:lineRule="exact"/>
        <w:ind w:left="0" w:firstLine="643" w:firstLineChars="200"/>
        <w:jc w:val="left"/>
        <w:textAlignment w:val="auto"/>
        <w:rPr>
          <w:rFonts w:hint="eastAsia" w:ascii="仿宋_GB2312" w:hAnsi="仿宋_GB2312" w:eastAsia="仿宋_GB2312" w:cs="仿宋_GB2312"/>
          <w:b/>
          <w:bCs/>
          <w:spacing w:val="0"/>
          <w:kern w:val="2"/>
          <w:sz w:val="32"/>
          <w:szCs w:val="32"/>
          <w:lang w:val="en-US" w:eastAsia="zh-CN" w:bidi="ar-SA"/>
        </w:rPr>
      </w:pPr>
      <w:r>
        <w:rPr>
          <w:rFonts w:hint="eastAsia" w:ascii="仿宋_GB2312" w:hAnsi="仿宋_GB2312" w:eastAsia="仿宋_GB2312" w:cs="仿宋_GB2312"/>
          <w:b/>
          <w:bCs/>
          <w:spacing w:val="0"/>
          <w:kern w:val="2"/>
          <w:sz w:val="32"/>
          <w:szCs w:val="32"/>
          <w:lang w:val="en-US" w:eastAsia="zh-CN" w:bidi="ar-SA"/>
        </w:rPr>
        <w:t>（一）基本要求</w:t>
      </w:r>
    </w:p>
    <w:p>
      <w:pPr>
        <w:pageBreakBefore w:val="0"/>
        <w:widowControl w:val="0"/>
        <w:numPr>
          <w:ilvl w:val="0"/>
          <w:numId w:val="0"/>
        </w:numPr>
        <w:tabs>
          <w:tab w:val="left" w:pos="142"/>
        </w:tabs>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1.每次</w:t>
      </w:r>
      <w:r>
        <w:rPr>
          <w:rFonts w:hint="eastAsia" w:ascii="仿宋_GB2312" w:hAnsi="仿宋_GB2312" w:eastAsia="仿宋_GB2312" w:cs="仿宋_GB2312"/>
          <w:sz w:val="32"/>
          <w:szCs w:val="32"/>
        </w:rPr>
        <w:t>开机前的检查及准备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检查前需向馆方提供检查表，明确检查内容及标准</w:t>
      </w:r>
      <w:r>
        <w:rPr>
          <w:rFonts w:hint="eastAsia" w:ascii="仿宋_GB2312" w:hAnsi="仿宋_GB2312" w:eastAsia="仿宋_GB2312" w:cs="仿宋_GB2312"/>
          <w:sz w:val="32"/>
          <w:szCs w:val="32"/>
        </w:rPr>
        <w:t>。</w:t>
      </w:r>
    </w:p>
    <w:p>
      <w:pPr>
        <w:pageBreakBefore w:val="0"/>
        <w:widowControl w:val="0"/>
        <w:numPr>
          <w:ilvl w:val="0"/>
          <w:numId w:val="0"/>
        </w:numPr>
        <w:tabs>
          <w:tab w:val="left" w:pos="142"/>
        </w:tabs>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每</w:t>
      </w:r>
      <w:r>
        <w:rPr>
          <w:rFonts w:hint="eastAsia" w:ascii="仿宋_GB2312" w:hAnsi="仿宋_GB2312" w:eastAsia="仿宋_GB2312" w:cs="仿宋_GB2312"/>
          <w:sz w:val="32"/>
          <w:szCs w:val="32"/>
          <w:lang w:val="en-US" w:eastAsia="zh-CN"/>
        </w:rPr>
        <w:t>年</w:t>
      </w:r>
      <w:r>
        <w:rPr>
          <w:rFonts w:hint="eastAsia" w:ascii="仿宋_GB2312" w:hAnsi="仿宋_GB2312" w:eastAsia="仿宋_GB2312" w:cs="仿宋_GB2312"/>
          <w:sz w:val="32"/>
          <w:szCs w:val="32"/>
        </w:rPr>
        <w:t>对主机</w:t>
      </w:r>
      <w:r>
        <w:rPr>
          <w:rFonts w:hint="eastAsia" w:ascii="仿宋_GB2312" w:hAnsi="仿宋_GB2312" w:eastAsia="仿宋_GB2312" w:cs="仿宋_GB2312"/>
          <w:sz w:val="32"/>
          <w:szCs w:val="32"/>
          <w:lang w:val="en-US" w:eastAsia="zh-CN"/>
        </w:rPr>
        <w:t>进行</w:t>
      </w:r>
      <w:r>
        <w:rPr>
          <w:rFonts w:hint="eastAsia" w:ascii="仿宋_GB2312" w:hAnsi="仿宋_GB2312" w:eastAsia="仿宋_GB2312" w:cs="仿宋_GB2312"/>
          <w:sz w:val="32"/>
          <w:szCs w:val="32"/>
        </w:rPr>
        <w:t>一次大型保养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出具保养报告</w:t>
      </w:r>
      <w:r>
        <w:rPr>
          <w:rFonts w:hint="eastAsia" w:ascii="仿宋_GB2312" w:hAnsi="仿宋_GB2312" w:eastAsia="仿宋_GB2312" w:cs="仿宋_GB2312"/>
          <w:sz w:val="32"/>
          <w:szCs w:val="32"/>
          <w:lang w:eastAsia="zh-CN"/>
        </w:rPr>
        <w:t>。</w:t>
      </w:r>
    </w:p>
    <w:p>
      <w:pPr>
        <w:pageBreakBefore w:val="0"/>
        <w:widowControl w:val="0"/>
        <w:numPr>
          <w:ilvl w:val="0"/>
          <w:numId w:val="0"/>
        </w:numPr>
        <w:tabs>
          <w:tab w:val="left" w:pos="142"/>
        </w:tabs>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每年对机组</w:t>
      </w:r>
      <w:r>
        <w:rPr>
          <w:rFonts w:hint="eastAsia" w:ascii="仿宋_GB2312" w:hAnsi="仿宋_GB2312" w:eastAsia="仿宋_GB2312" w:cs="仿宋_GB2312"/>
          <w:sz w:val="32"/>
          <w:szCs w:val="32"/>
          <w:lang w:val="en-US" w:eastAsia="zh-CN"/>
        </w:rPr>
        <w:t>循环</w:t>
      </w:r>
      <w:r>
        <w:rPr>
          <w:rFonts w:hint="eastAsia" w:ascii="仿宋_GB2312" w:hAnsi="仿宋_GB2312" w:eastAsia="仿宋_GB2312" w:cs="仿宋_GB2312"/>
          <w:sz w:val="32"/>
          <w:szCs w:val="32"/>
        </w:rPr>
        <w:t>水系统进行一次检查维护，</w:t>
      </w:r>
      <w:r>
        <w:rPr>
          <w:rFonts w:hint="eastAsia" w:ascii="仿宋_GB2312" w:hAnsi="仿宋_GB2312" w:eastAsia="仿宋_GB2312" w:cs="仿宋_GB2312"/>
          <w:sz w:val="32"/>
          <w:szCs w:val="32"/>
          <w:lang w:val="en-US" w:eastAsia="zh-CN"/>
        </w:rPr>
        <w:t>对所有</w:t>
      </w:r>
      <w:r>
        <w:rPr>
          <w:rFonts w:hint="eastAsia" w:ascii="仿宋_GB2312" w:hAnsi="仿宋_GB2312" w:eastAsia="仿宋_GB2312" w:cs="仿宋_GB2312"/>
          <w:sz w:val="32"/>
          <w:szCs w:val="32"/>
        </w:rPr>
        <w:t>机组翅片进行</w:t>
      </w:r>
      <w:r>
        <w:rPr>
          <w:rFonts w:hint="eastAsia" w:ascii="仿宋_GB2312" w:hAnsi="仿宋_GB2312" w:eastAsia="仿宋_GB2312" w:cs="仿宋_GB2312"/>
          <w:sz w:val="32"/>
          <w:szCs w:val="32"/>
          <w:lang w:val="en-US" w:eastAsia="zh-CN"/>
        </w:rPr>
        <w:t>两次</w:t>
      </w:r>
      <w:r>
        <w:rPr>
          <w:rFonts w:hint="eastAsia" w:ascii="仿宋_GB2312" w:hAnsi="仿宋_GB2312" w:eastAsia="仿宋_GB2312" w:cs="仿宋_GB2312"/>
          <w:sz w:val="32"/>
          <w:szCs w:val="32"/>
        </w:rPr>
        <w:t xml:space="preserve">清洗。 </w:t>
      </w:r>
    </w:p>
    <w:p>
      <w:pPr>
        <w:pageBreakBefore w:val="0"/>
        <w:widowControl w:val="0"/>
        <w:numPr>
          <w:ilvl w:val="0"/>
          <w:numId w:val="0"/>
        </w:numPr>
        <w:tabs>
          <w:tab w:val="left" w:pos="142"/>
        </w:tabs>
        <w:kinsoku/>
        <w:wordWrap/>
        <w:overflowPunct/>
        <w:topLinePunct w:val="0"/>
        <w:autoSpaceDE/>
        <w:autoSpaceDN/>
        <w:bidi w:val="0"/>
        <w:adjustRightInd/>
        <w:snapToGrid/>
        <w:spacing w:line="560" w:lineRule="exact"/>
        <w:ind w:left="0" w:leftChars="0" w:firstLine="640" w:firstLineChars="200"/>
        <w:textAlignment w:val="auto"/>
        <w:rPr>
          <w:rFonts w:hint="eastAsia" w:eastAsia="仿宋_GB2312"/>
          <w:lang w:val="en-US" w:eastAsia="zh-CN"/>
        </w:rPr>
      </w:pPr>
      <w:r>
        <w:rPr>
          <w:rFonts w:hint="eastAsia" w:ascii="仿宋_GB2312" w:hAnsi="仿宋_GB2312" w:eastAsia="仿宋_GB2312" w:cs="仿宋_GB2312"/>
          <w:sz w:val="32"/>
          <w:szCs w:val="32"/>
          <w:lang w:val="en-US" w:eastAsia="zh-CN"/>
        </w:rPr>
        <w:t>4.提交所有设备巡检清单，</w:t>
      </w:r>
      <w:r>
        <w:rPr>
          <w:rFonts w:hint="eastAsia" w:ascii="仿宋_GB2312" w:hAnsi="仿宋_GB2312" w:eastAsia="仿宋_GB2312" w:cs="仿宋_GB2312"/>
          <w:sz w:val="32"/>
          <w:szCs w:val="32"/>
        </w:rPr>
        <w:t>每</w:t>
      </w:r>
      <w:r>
        <w:rPr>
          <w:rFonts w:hint="eastAsia" w:ascii="仿宋_GB2312" w:hAnsi="仿宋_GB2312" w:eastAsia="仿宋_GB2312" w:cs="仿宋_GB2312"/>
          <w:sz w:val="32"/>
          <w:szCs w:val="32"/>
          <w:lang w:val="en-US" w:eastAsia="zh-CN"/>
        </w:rPr>
        <w:t>周巡检一次，并</w:t>
      </w:r>
      <w:r>
        <w:rPr>
          <w:rFonts w:hint="eastAsia" w:ascii="仿宋_GB2312" w:hAnsi="仿宋_GB2312" w:eastAsia="仿宋_GB2312" w:cs="仿宋_GB2312"/>
          <w:sz w:val="32"/>
          <w:szCs w:val="32"/>
        </w:rPr>
        <w:t>向</w:t>
      </w:r>
      <w:r>
        <w:rPr>
          <w:rFonts w:hint="eastAsia" w:ascii="仿宋_GB2312" w:hAnsi="仿宋_GB2312" w:eastAsia="仿宋_GB2312" w:cs="仿宋_GB2312"/>
          <w:sz w:val="32"/>
          <w:szCs w:val="32"/>
          <w:lang w:val="en-US" w:eastAsia="zh-CN"/>
        </w:rPr>
        <w:t>馆方</w:t>
      </w:r>
      <w:r>
        <w:rPr>
          <w:rFonts w:hint="eastAsia" w:ascii="仿宋_GB2312" w:hAnsi="仿宋_GB2312" w:eastAsia="仿宋_GB2312" w:cs="仿宋_GB2312"/>
          <w:sz w:val="32"/>
          <w:szCs w:val="32"/>
        </w:rPr>
        <w:t>提交</w:t>
      </w:r>
      <w:r>
        <w:rPr>
          <w:rFonts w:hint="eastAsia" w:ascii="仿宋_GB2312" w:hAnsi="仿宋_GB2312" w:eastAsia="仿宋_GB2312" w:cs="仿宋_GB2312"/>
          <w:sz w:val="32"/>
          <w:szCs w:val="32"/>
          <w:lang w:val="en-US" w:eastAsia="zh-CN"/>
        </w:rPr>
        <w:t>巡检记录单和维保报告</w:t>
      </w:r>
      <w:r>
        <w:rPr>
          <w:rFonts w:hint="eastAsia" w:ascii="仿宋_GB2312" w:hAnsi="仿宋_GB2312" w:eastAsia="仿宋_GB2312" w:cs="仿宋_GB2312"/>
          <w:sz w:val="32"/>
          <w:szCs w:val="32"/>
          <w:lang w:eastAsia="zh-CN"/>
        </w:rPr>
        <w:t>。</w:t>
      </w:r>
    </w:p>
    <w:p>
      <w:pPr>
        <w:pageBreakBefore w:val="0"/>
        <w:widowControl w:val="0"/>
        <w:numPr>
          <w:ilvl w:val="0"/>
          <w:numId w:val="0"/>
        </w:numPr>
        <w:tabs>
          <w:tab w:val="left" w:pos="142"/>
        </w:tabs>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每年对机组进行</w:t>
      </w:r>
      <w:r>
        <w:rPr>
          <w:rFonts w:hint="eastAsia" w:ascii="仿宋_GB2312" w:hAnsi="仿宋_GB2312" w:eastAsia="仿宋_GB2312" w:cs="仿宋_GB2312"/>
          <w:sz w:val="32"/>
          <w:szCs w:val="32"/>
          <w:lang w:val="en-US" w:eastAsia="zh-CN"/>
        </w:rPr>
        <w:t>一次</w:t>
      </w:r>
      <w:r>
        <w:rPr>
          <w:rFonts w:hint="eastAsia" w:ascii="仿宋_GB2312" w:hAnsi="仿宋_GB2312" w:eastAsia="仿宋_GB2312" w:cs="仿宋_GB2312"/>
          <w:sz w:val="32"/>
          <w:szCs w:val="32"/>
        </w:rPr>
        <w:t>振动测试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提供专业振动测试报告，</w:t>
      </w:r>
      <w:r>
        <w:rPr>
          <w:rFonts w:hint="eastAsia" w:ascii="仿宋_GB2312" w:hAnsi="仿宋_GB2312" w:eastAsia="仿宋_GB2312" w:cs="仿宋_GB2312"/>
          <w:sz w:val="32"/>
          <w:szCs w:val="32"/>
          <w:lang w:val="en-US" w:eastAsia="zh-CN"/>
        </w:rPr>
        <w:t>拟派项目技术负责人应具备保障</w:t>
      </w:r>
      <w:r>
        <w:rPr>
          <w:rFonts w:hint="eastAsia" w:ascii="仿宋_GB2312" w:hAnsi="仿宋_GB2312" w:eastAsia="仿宋_GB2312" w:cs="仿宋_GB2312"/>
          <w:sz w:val="32"/>
          <w:szCs w:val="32"/>
        </w:rPr>
        <w:t>机组核心关键</w:t>
      </w:r>
      <w:r>
        <w:rPr>
          <w:rFonts w:hint="eastAsia" w:ascii="仿宋_GB2312" w:hAnsi="仿宋_GB2312" w:eastAsia="仿宋_GB2312" w:cs="仿宋_GB2312"/>
          <w:sz w:val="32"/>
          <w:szCs w:val="32"/>
          <w:lang w:val="en-US" w:eastAsia="zh-CN"/>
        </w:rPr>
        <w:t>设备正常</w:t>
      </w:r>
      <w:r>
        <w:rPr>
          <w:rFonts w:hint="eastAsia" w:ascii="仿宋_GB2312" w:hAnsi="仿宋_GB2312" w:eastAsia="仿宋_GB2312" w:cs="仿宋_GB2312"/>
          <w:sz w:val="32"/>
          <w:szCs w:val="32"/>
        </w:rPr>
        <w:t>运行</w:t>
      </w:r>
      <w:r>
        <w:rPr>
          <w:rFonts w:hint="eastAsia" w:ascii="仿宋_GB2312" w:hAnsi="仿宋_GB2312" w:eastAsia="仿宋_GB2312" w:cs="仿宋_GB2312"/>
          <w:sz w:val="32"/>
          <w:szCs w:val="32"/>
          <w:lang w:val="en-US" w:eastAsia="zh-CN"/>
        </w:rPr>
        <w:t>的能力</w:t>
      </w:r>
      <w:r>
        <w:rPr>
          <w:rFonts w:hint="eastAsia" w:ascii="仿宋_GB2312" w:hAnsi="仿宋_GB2312" w:eastAsia="仿宋_GB2312" w:cs="仿宋_GB2312"/>
          <w:sz w:val="32"/>
          <w:szCs w:val="32"/>
        </w:rPr>
        <w:t>。</w:t>
      </w:r>
    </w:p>
    <w:p>
      <w:pPr>
        <w:pageBreakBefore w:val="0"/>
        <w:widowControl w:val="0"/>
        <w:numPr>
          <w:ilvl w:val="0"/>
          <w:numId w:val="0"/>
        </w:numPr>
        <w:tabs>
          <w:tab w:val="left" w:pos="142"/>
        </w:tabs>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6.及时</w:t>
      </w:r>
      <w:r>
        <w:rPr>
          <w:rFonts w:hint="eastAsia" w:ascii="仿宋_GB2312" w:hAnsi="仿宋_GB2312" w:eastAsia="仿宋_GB2312" w:cs="仿宋_GB2312"/>
          <w:sz w:val="32"/>
          <w:szCs w:val="32"/>
        </w:rPr>
        <w:t>对机组</w:t>
      </w:r>
      <w:r>
        <w:rPr>
          <w:rFonts w:hint="eastAsia" w:ascii="仿宋_GB2312" w:hAnsi="仿宋_GB2312" w:eastAsia="仿宋_GB2312" w:cs="仿宋_GB2312"/>
          <w:sz w:val="32"/>
          <w:szCs w:val="32"/>
          <w:lang w:val="en-US" w:eastAsia="zh-CN"/>
        </w:rPr>
        <w:t>应用</w:t>
      </w:r>
      <w:r>
        <w:rPr>
          <w:rFonts w:hint="eastAsia" w:ascii="仿宋_GB2312" w:hAnsi="仿宋_GB2312" w:eastAsia="仿宋_GB2312" w:cs="仿宋_GB2312"/>
          <w:sz w:val="32"/>
          <w:szCs w:val="32"/>
        </w:rPr>
        <w:t>程序</w:t>
      </w:r>
      <w:r>
        <w:rPr>
          <w:rFonts w:hint="eastAsia" w:ascii="仿宋_GB2312" w:hAnsi="仿宋_GB2312" w:eastAsia="仿宋_GB2312" w:cs="仿宋_GB2312"/>
          <w:sz w:val="32"/>
          <w:szCs w:val="32"/>
          <w:lang w:val="en-US" w:eastAsia="zh-CN"/>
        </w:rPr>
        <w:t>进行免费</w:t>
      </w:r>
      <w:r>
        <w:rPr>
          <w:rFonts w:hint="eastAsia" w:ascii="仿宋_GB2312" w:hAnsi="仿宋_GB2312" w:eastAsia="仿宋_GB2312" w:cs="仿宋_GB2312"/>
          <w:sz w:val="32"/>
          <w:szCs w:val="32"/>
        </w:rPr>
        <w:t>升级。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7.24小时为馆方提供技术咨询服务</w:t>
      </w:r>
      <w:r>
        <w:rPr>
          <w:rFonts w:hint="eastAsia" w:ascii="仿宋_GB2312" w:hAnsi="仿宋_GB2312" w:eastAsia="仿宋_GB2312" w:cs="仿宋_GB2312"/>
          <w:kern w:val="2"/>
          <w:sz w:val="32"/>
          <w:szCs w:val="32"/>
          <w:lang w:val="en-US" w:eastAsia="zh-CN" w:bidi="ar-SA"/>
        </w:rPr>
        <w:t>，提供专业的维保方案</w:t>
      </w:r>
      <w:r>
        <w:rPr>
          <w:rFonts w:hint="eastAsia" w:ascii="仿宋_GB2312" w:hAnsi="仿宋_GB2312" w:eastAsia="仿宋_GB2312" w:cs="仿宋_GB2312"/>
          <w:sz w:val="32"/>
          <w:szCs w:val="32"/>
          <w:lang w:val="en-US" w:eastAsia="zh-CN"/>
        </w:rPr>
        <w:t>。</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8.机组故障2小时内到达现场，24小时内完成一般维修，24小时内无法完成的需提供专业的维修方案。</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9.更换单个零配件价格在800元以下的（以厂家指导价为标准）由供应商自行负责购买更换（氟除外）。</w:t>
      </w:r>
    </w:p>
    <w:p>
      <w:pPr>
        <w:pStyle w:val="2"/>
        <w:numPr>
          <w:ilvl w:val="-1"/>
          <w:numId w:val="0"/>
        </w:numPr>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10.每月定期出具月度维保工作简报，年底出具本年度维保工作报告。</w:t>
      </w:r>
    </w:p>
    <w:p>
      <w:pPr>
        <w:pStyle w:val="2"/>
        <w:numPr>
          <w:ilvl w:val="-1"/>
          <w:numId w:val="0"/>
        </w:numPr>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11.每年至少开展两次空调日常维修检查培训。</w:t>
      </w:r>
    </w:p>
    <w:p>
      <w:pPr>
        <w:pStyle w:val="5"/>
        <w:pageBreakBefore w:val="0"/>
        <w:widowControl w:val="0"/>
        <w:numPr>
          <w:ilvl w:val="0"/>
          <w:numId w:val="0"/>
        </w:numPr>
        <w:kinsoku/>
        <w:wordWrap/>
        <w:overflowPunct/>
        <w:topLinePunct w:val="0"/>
        <w:autoSpaceDE/>
        <w:autoSpaceDN/>
        <w:bidi w:val="0"/>
        <w:adjustRightInd/>
        <w:snapToGrid/>
        <w:spacing w:before="0" w:after="0" w:line="560" w:lineRule="exact"/>
        <w:ind w:left="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val="en-US" w:eastAsia="zh-CN"/>
        </w:rPr>
        <w:t>质量</w:t>
      </w:r>
      <w:r>
        <w:rPr>
          <w:rFonts w:hint="eastAsia" w:ascii="仿宋_GB2312" w:hAnsi="仿宋_GB2312" w:eastAsia="仿宋_GB2312" w:cs="仿宋_GB2312"/>
          <w:sz w:val="32"/>
          <w:szCs w:val="32"/>
        </w:rPr>
        <w:t>保证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1.配件质量保证：</w:t>
      </w:r>
      <w:r>
        <w:rPr>
          <w:rFonts w:hint="eastAsia" w:ascii="仿宋_GB2312" w:hAnsi="仿宋_GB2312" w:eastAsia="仿宋_GB2312" w:cs="仿宋_GB2312"/>
          <w:sz w:val="32"/>
          <w:szCs w:val="32"/>
          <w:lang w:val="en-US" w:eastAsia="zh-CN"/>
        </w:rPr>
        <w:t>在贵阳具有备件库，提供本项目机组核心配件型号规格，所有配件提供原厂配件证明，储备充足的配件。原厂签发的证明及质量检测报告，配件安装前应当馆方人员面开封并验证，应确保确保维修后的设备的各项性能指标、技术参数符合整机出厂要求，否则一切责任由供应商承担。</w:t>
      </w:r>
    </w:p>
    <w:p>
      <w:pPr>
        <w:pStyle w:val="5"/>
        <w:pageBreakBefore w:val="0"/>
        <w:widowControl w:val="0"/>
        <w:numPr>
          <w:ilvl w:val="1"/>
          <w:numId w:val="0"/>
        </w:numPr>
        <w:kinsoku/>
        <w:wordWrap/>
        <w:overflowPunct/>
        <w:topLinePunct w:val="0"/>
        <w:autoSpaceDE/>
        <w:autoSpaceDN/>
        <w:bidi w:val="0"/>
        <w:adjustRightInd/>
        <w:snapToGrid/>
        <w:spacing w:before="0" w:after="0" w:line="560" w:lineRule="exact"/>
        <w:ind w:left="0" w:leftChars="0" w:firstLine="643"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2.维保质量保证要求：</w:t>
      </w:r>
      <w:r>
        <w:rPr>
          <w:rFonts w:hint="eastAsia" w:ascii="仿宋_GB2312" w:hAnsi="仿宋_GB2312" w:eastAsia="仿宋_GB2312" w:cs="仿宋_GB2312"/>
          <w:b w:val="0"/>
          <w:bCs w:val="0"/>
          <w:kern w:val="2"/>
          <w:sz w:val="32"/>
          <w:szCs w:val="32"/>
          <w:lang w:val="en-US" w:eastAsia="zh-CN" w:bidi="ar-SA"/>
        </w:rPr>
        <w:t>保证中央空调正常运行，符合机组使用手册运行要求。</w:t>
      </w:r>
    </w:p>
    <w:p>
      <w:pPr>
        <w:pStyle w:val="8"/>
        <w:pageBreakBefore w:val="0"/>
        <w:widowControl w:val="0"/>
        <w:tabs>
          <w:tab w:val="left" w:pos="142"/>
        </w:tabs>
        <w:kinsoku/>
        <w:wordWrap/>
        <w:overflowPunct/>
        <w:topLinePunct w:val="0"/>
        <w:autoSpaceDE/>
        <w:autoSpaceDN/>
        <w:bidi w:val="0"/>
        <w:adjustRightInd/>
        <w:snapToGrid/>
        <w:spacing w:line="560" w:lineRule="exact"/>
        <w:ind w:left="0" w:firstLine="643" w:firstLineChars="200"/>
        <w:textAlignment w:val="auto"/>
        <w:outlineLvl w:val="1"/>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w:t>
      </w:r>
      <w:r>
        <w:rPr>
          <w:rFonts w:hint="eastAsia" w:ascii="仿宋_GB2312" w:hAnsi="仿宋_GB2312" w:eastAsia="仿宋_GB2312" w:cs="仿宋_GB2312"/>
          <w:b/>
          <w:sz w:val="32"/>
          <w:szCs w:val="32"/>
          <w:lang w:val="en-US" w:eastAsia="zh-CN"/>
        </w:rPr>
        <w:t>三</w:t>
      </w:r>
      <w:r>
        <w:rPr>
          <w:rFonts w:hint="eastAsia" w:ascii="仿宋_GB2312" w:hAnsi="仿宋_GB2312" w:eastAsia="仿宋_GB2312" w:cs="仿宋_GB2312"/>
          <w:b/>
          <w:sz w:val="32"/>
          <w:szCs w:val="32"/>
        </w:rPr>
        <w:t>）资质要求</w:t>
      </w:r>
      <w:bookmarkStart w:id="18" w:name="_Toc233690261"/>
      <w:bookmarkStart w:id="19" w:name="_Toc232839369"/>
      <w:bookmarkStart w:id="20" w:name="_Toc233099389"/>
      <w:bookmarkStart w:id="21" w:name="_Toc233099304"/>
    </w:p>
    <w:p>
      <w:pPr>
        <w:pStyle w:val="8"/>
        <w:pageBreakBefore w:val="0"/>
        <w:widowControl w:val="0"/>
        <w:tabs>
          <w:tab w:val="left" w:pos="142"/>
        </w:tabs>
        <w:kinsoku/>
        <w:wordWrap/>
        <w:overflowPunct/>
        <w:topLinePunct w:val="0"/>
        <w:autoSpaceDE/>
        <w:autoSpaceDN/>
        <w:bidi w:val="0"/>
        <w:adjustRightInd/>
        <w:snapToGrid/>
        <w:spacing w:line="560" w:lineRule="exact"/>
        <w:ind w:left="0" w:firstLine="640" w:firstLineChars="200"/>
        <w:textAlignment w:val="auto"/>
        <w:outlineLvl w:val="1"/>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1.供应商具备中央空调系统维修及安装相关资质。</w:t>
      </w:r>
    </w:p>
    <w:p>
      <w:pPr>
        <w:pStyle w:val="8"/>
        <w:pageBreakBefore w:val="0"/>
        <w:widowControl w:val="0"/>
        <w:tabs>
          <w:tab w:val="left" w:pos="142"/>
        </w:tabs>
        <w:kinsoku/>
        <w:wordWrap/>
        <w:overflowPunct/>
        <w:topLinePunct w:val="0"/>
        <w:autoSpaceDE/>
        <w:autoSpaceDN/>
        <w:bidi w:val="0"/>
        <w:adjustRightInd/>
        <w:snapToGrid/>
        <w:spacing w:line="560" w:lineRule="exact"/>
        <w:ind w:left="0" w:leftChars="0" w:firstLine="640" w:firstLineChars="200"/>
        <w:textAlignment w:val="auto"/>
        <w:outlineLvl w:val="1"/>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2.</w:t>
      </w:r>
      <w:r>
        <w:rPr>
          <w:rFonts w:hint="eastAsia" w:ascii="仿宋_GB2312" w:hAnsi="仿宋_GB2312" w:eastAsia="仿宋_GB2312" w:cs="仿宋_GB2312"/>
          <w:sz w:val="32"/>
          <w:szCs w:val="32"/>
          <w:lang w:val="en-US" w:eastAsia="zh-CN"/>
        </w:rPr>
        <w:t>拟派项目技术负责人应具有</w:t>
      </w:r>
      <w:r>
        <w:rPr>
          <w:rFonts w:hint="eastAsia" w:ascii="仿宋_GB2312" w:hAnsi="仿宋_GB2312" w:eastAsia="仿宋_GB2312" w:cs="仿宋_GB2312"/>
          <w:b w:val="0"/>
          <w:bCs w:val="0"/>
          <w:kern w:val="2"/>
          <w:sz w:val="32"/>
          <w:szCs w:val="32"/>
          <w:lang w:val="en-US" w:eastAsia="zh-CN" w:bidi="ar-SA"/>
        </w:rPr>
        <w:t>中央空调运行管理专业工程师证。</w:t>
      </w:r>
    </w:p>
    <w:p>
      <w:pPr>
        <w:pStyle w:val="8"/>
        <w:pageBreakBefore w:val="0"/>
        <w:widowControl w:val="0"/>
        <w:tabs>
          <w:tab w:val="left" w:pos="142"/>
        </w:tabs>
        <w:kinsoku/>
        <w:wordWrap/>
        <w:overflowPunct/>
        <w:topLinePunct w:val="0"/>
        <w:autoSpaceDE/>
        <w:autoSpaceDN/>
        <w:bidi w:val="0"/>
        <w:adjustRightInd/>
        <w:snapToGrid/>
        <w:spacing w:line="560" w:lineRule="exact"/>
        <w:ind w:left="0" w:leftChars="0" w:firstLine="640" w:firstLineChars="200"/>
        <w:textAlignment w:val="auto"/>
        <w:outlineLvl w:val="1"/>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kern w:val="2"/>
          <w:sz w:val="32"/>
          <w:szCs w:val="32"/>
          <w:lang w:val="en-US" w:eastAsia="zh-CN" w:bidi="ar-SA"/>
        </w:rPr>
        <w:t>3.</w:t>
      </w:r>
      <w:r>
        <w:rPr>
          <w:rFonts w:hint="eastAsia" w:ascii="仿宋_GB2312" w:hAnsi="仿宋_GB2312" w:eastAsia="仿宋_GB2312" w:cs="仿宋_GB2312"/>
          <w:sz w:val="32"/>
          <w:szCs w:val="32"/>
          <w:lang w:val="en-US" w:eastAsia="zh-CN"/>
        </w:rPr>
        <w:t>供应商应至少</w:t>
      </w:r>
      <w:r>
        <w:rPr>
          <w:rFonts w:hint="eastAsia" w:ascii="仿宋_GB2312" w:hAnsi="仿宋_GB2312" w:eastAsia="仿宋_GB2312" w:cs="仿宋_GB2312"/>
          <w:sz w:val="32"/>
          <w:szCs w:val="32"/>
          <w:highlight w:val="none"/>
          <w:lang w:val="en-US" w:eastAsia="zh-CN"/>
        </w:rPr>
        <w:t>有5位具</w:t>
      </w:r>
      <w:r>
        <w:rPr>
          <w:rFonts w:hint="eastAsia" w:ascii="仿宋_GB2312" w:hAnsi="仿宋_GB2312" w:eastAsia="仿宋_GB2312" w:cs="仿宋_GB2312"/>
          <w:sz w:val="32"/>
          <w:szCs w:val="32"/>
          <w:lang w:val="en-US" w:eastAsia="zh-CN"/>
        </w:rPr>
        <w:t>有国家安全生产监督管理总局监制发放的中华人民共和国特种作业操作证的专业维保技术员，并提供证书及在本公司的近3个月社保证明。</w:t>
      </w:r>
      <w:bookmarkEnd w:id="0"/>
      <w:bookmarkEnd w:id="1"/>
      <w:bookmarkEnd w:id="2"/>
      <w:bookmarkEnd w:id="3"/>
      <w:bookmarkEnd w:id="15"/>
      <w:bookmarkEnd w:id="16"/>
      <w:bookmarkEnd w:id="17"/>
      <w:bookmarkEnd w:id="18"/>
      <w:bookmarkEnd w:id="19"/>
      <w:bookmarkEnd w:id="20"/>
      <w:bookmarkEnd w:id="21"/>
    </w:p>
    <w:p>
      <w:pPr>
        <w:pStyle w:val="8"/>
        <w:pageBreakBefore w:val="0"/>
        <w:widowControl w:val="0"/>
        <w:tabs>
          <w:tab w:val="left" w:pos="142"/>
        </w:tabs>
        <w:kinsoku/>
        <w:wordWrap/>
        <w:overflowPunct/>
        <w:topLinePunct w:val="0"/>
        <w:autoSpaceDE/>
        <w:autoSpaceDN/>
        <w:bidi w:val="0"/>
        <w:adjustRightInd/>
        <w:snapToGrid/>
        <w:spacing w:line="560" w:lineRule="exact"/>
        <w:ind w:left="0" w:leftChars="0" w:firstLine="640" w:firstLineChars="200"/>
        <w:textAlignment w:val="auto"/>
        <w:outlineLvl w:val="1"/>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4.供应商技术员应具有动火或临时用电作业等安全生产许可相关的资格证，保证在文物场馆空调机组维修特殊性要求。</w:t>
      </w:r>
    </w:p>
    <w:p>
      <w:pPr>
        <w:spacing w:line="540" w:lineRule="exact"/>
        <w:ind w:firstLine="640" w:firstLineChars="200"/>
        <w:rPr>
          <w:rFonts w:hint="default" w:ascii="仿宋_GB2312" w:eastAsia="仿宋_GB2312"/>
          <w:sz w:val="32"/>
          <w:szCs w:val="32"/>
          <w:lang w:val="en-US" w:eastAsia="zh-CN"/>
        </w:rPr>
      </w:pPr>
      <w:r>
        <w:rPr>
          <w:rFonts w:hint="eastAsia" w:ascii="仿宋_GB2312" w:eastAsia="仿宋_GB2312"/>
          <w:sz w:val="32"/>
          <w:szCs w:val="32"/>
          <w:lang w:val="en-US" w:eastAsia="zh-CN"/>
        </w:rPr>
        <w:t>以下空白。</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2E"/>
    <w:multiLevelType w:val="multilevel"/>
    <w:tmpl w:val="0000002E"/>
    <w:lvl w:ilvl="0" w:tentative="0">
      <w:start w:val="1"/>
      <w:numFmt w:val="decimal"/>
      <w:pStyle w:val="4"/>
      <w:lvlText w:val="第%1章"/>
      <w:lvlJc w:val="left"/>
      <w:pPr>
        <w:ind w:left="2554" w:hanging="425"/>
      </w:pPr>
      <w:rPr>
        <w:rFonts w:hint="default" w:ascii="Times New Roman" w:hAnsi="Times New Roman" w:eastAsia="宋体"/>
        <w:b/>
        <w:i w:val="0"/>
        <w:sz w:val="32"/>
        <w:szCs w:val="32"/>
        <w:lang w:val="en-US"/>
      </w:rPr>
    </w:lvl>
    <w:lvl w:ilvl="1" w:tentative="0">
      <w:start w:val="1"/>
      <w:numFmt w:val="decimal"/>
      <w:pStyle w:val="5"/>
      <w:suff w:val="nothing"/>
      <w:lvlText w:val="%1.%2"/>
      <w:lvlJc w:val="left"/>
      <w:pPr>
        <w:ind w:left="1986" w:hanging="567"/>
      </w:pPr>
      <w:rPr>
        <w:rFonts w:hint="default" w:ascii="Times New Roman" w:hAnsi="Times New Roman" w:eastAsia="宋体" w:cs="Times New Roman"/>
        <w:b/>
        <w:i w:val="0"/>
        <w:color w:val="auto"/>
        <w:sz w:val="28"/>
        <w:szCs w:val="28"/>
      </w:rPr>
    </w:lvl>
    <w:lvl w:ilvl="2" w:tentative="0">
      <w:start w:val="1"/>
      <w:numFmt w:val="decimal"/>
      <w:suff w:val="space"/>
      <w:lvlText w:val="%1.%2.%3"/>
      <w:lvlJc w:val="left"/>
      <w:pPr>
        <w:ind w:left="7373" w:hanging="567"/>
      </w:pPr>
      <w:rPr>
        <w:rFonts w:hint="default" w:ascii="Times New Roman" w:hAnsi="Times New Roman" w:eastAsia="宋体" w:cs="Times New Roman"/>
        <w:b/>
        <w:i w:val="0"/>
        <w:sz w:val="28"/>
      </w:rPr>
    </w:lvl>
    <w:lvl w:ilvl="3" w:tentative="0">
      <w:start w:val="1"/>
      <w:numFmt w:val="decimal"/>
      <w:suff w:val="nothing"/>
      <w:lvlText w:val="%1.%2.%3.%4"/>
      <w:lvlJc w:val="left"/>
      <w:pPr>
        <w:ind w:left="2695" w:hanging="708"/>
      </w:pPr>
      <w:rPr>
        <w:rFonts w:hint="default" w:ascii="Times New Roman" w:hAnsi="Times New Roman" w:eastAsia="宋体" w:cs="Times New Roman"/>
        <w:b/>
        <w:i w:val="0"/>
        <w:sz w:val="28"/>
      </w:rPr>
    </w:lvl>
    <w:lvl w:ilvl="4" w:tentative="0">
      <w:start w:val="1"/>
      <w:numFmt w:val="decimal"/>
      <w:lvlText w:val="%1.%2.%3.%4.%5"/>
      <w:lvlJc w:val="left"/>
      <w:pPr>
        <w:ind w:left="3828" w:hanging="850"/>
      </w:pPr>
      <w:rPr>
        <w:rFonts w:hint="default" w:ascii="Times New Roman" w:hAnsi="Times New Roman" w:cs="Times New Roman"/>
      </w:rPr>
    </w:lvl>
    <w:lvl w:ilvl="5" w:tentative="0">
      <w:start w:val="1"/>
      <w:numFmt w:val="decimal"/>
      <w:lvlText w:val="%1.%2.%3.%4.%5.%6"/>
      <w:lvlJc w:val="left"/>
      <w:pPr>
        <w:ind w:left="4537" w:hanging="1134"/>
      </w:pPr>
      <w:rPr>
        <w:rFonts w:hint="eastAsia"/>
      </w:rPr>
    </w:lvl>
    <w:lvl w:ilvl="6" w:tentative="0">
      <w:start w:val="1"/>
      <w:numFmt w:val="decimal"/>
      <w:lvlText w:val="%1.%2.%3.%4.%5.%6.%7"/>
      <w:lvlJc w:val="left"/>
      <w:pPr>
        <w:ind w:left="5104" w:hanging="1276"/>
      </w:pPr>
      <w:rPr>
        <w:rFonts w:hint="eastAsia"/>
      </w:rPr>
    </w:lvl>
    <w:lvl w:ilvl="7" w:tentative="0">
      <w:start w:val="1"/>
      <w:numFmt w:val="decimal"/>
      <w:lvlText w:val="%1.%2.%3.%4.%5.%6.%7.%8"/>
      <w:lvlJc w:val="left"/>
      <w:pPr>
        <w:ind w:left="5671" w:hanging="1418"/>
      </w:pPr>
      <w:rPr>
        <w:rFonts w:hint="eastAsia"/>
      </w:rPr>
    </w:lvl>
    <w:lvl w:ilvl="8" w:tentative="0">
      <w:start w:val="1"/>
      <w:numFmt w:val="decimal"/>
      <w:lvlText w:val="%1.%2.%3.%4.%5.%6.%7.%8.%9"/>
      <w:lvlJc w:val="left"/>
      <w:pPr>
        <w:ind w:left="6379"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0OGIwNWVlYzRiNzUwZGE1MGNhNmM2ZTQ1ZGEwMWMifQ=="/>
  </w:docVars>
  <w:rsids>
    <w:rsidRoot w:val="4C1F1072"/>
    <w:rsid w:val="4C1F10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qFormat/>
    <w:uiPriority w:val="0"/>
    <w:pPr>
      <w:keepNext/>
      <w:keepLines/>
      <w:numPr>
        <w:ilvl w:val="0"/>
        <w:numId w:val="1"/>
      </w:numPr>
      <w:spacing w:before="340" w:after="330" w:line="400" w:lineRule="exact"/>
      <w:jc w:val="center"/>
      <w:outlineLvl w:val="0"/>
    </w:pPr>
    <w:rPr>
      <w:rFonts w:ascii="宋体" w:hAnsi="宋体"/>
      <w:b/>
      <w:bCs/>
      <w:spacing w:val="-20"/>
      <w:kern w:val="44"/>
      <w:sz w:val="32"/>
      <w:szCs w:val="32"/>
      <w:lang w:val="zh-CN" w:eastAsia="zh-CN"/>
    </w:rPr>
  </w:style>
  <w:style w:type="paragraph" w:styleId="5">
    <w:name w:val="heading 2"/>
    <w:basedOn w:val="1"/>
    <w:next w:val="1"/>
    <w:qFormat/>
    <w:uiPriority w:val="0"/>
    <w:pPr>
      <w:keepNext/>
      <w:keepLines/>
      <w:numPr>
        <w:ilvl w:val="1"/>
        <w:numId w:val="1"/>
      </w:numPr>
      <w:spacing w:before="260" w:after="260" w:line="360" w:lineRule="auto"/>
      <w:jc w:val="left"/>
      <w:outlineLvl w:val="1"/>
    </w:pPr>
    <w:rPr>
      <w:rFonts w:ascii="宋体" w:hAnsi="宋体"/>
      <w:b/>
      <w:bCs/>
      <w:sz w:val="28"/>
      <w:szCs w:val="28"/>
      <w:lang w:val="zh-CN" w:eastAsia="zh-CN"/>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First Indent"/>
    <w:basedOn w:val="3"/>
    <w:semiHidden/>
    <w:unhideWhenUsed/>
    <w:qFormat/>
    <w:uiPriority w:val="99"/>
    <w:pPr>
      <w:ind w:firstLine="420" w:firstLineChars="100"/>
    </w:pPr>
  </w:style>
  <w:style w:type="paragraph" w:styleId="3">
    <w:name w:val="Body Text"/>
    <w:basedOn w:val="1"/>
    <w:semiHidden/>
    <w:unhideWhenUsed/>
    <w:qFormat/>
    <w:uiPriority w:val="99"/>
    <w:pPr>
      <w:spacing w:after="120"/>
    </w:pPr>
  </w:style>
  <w:style w:type="paragraph" w:customStyle="1" w:styleId="8">
    <w:name w:val="列出段落1"/>
    <w:basedOn w:val="1"/>
    <w:qFormat/>
    <w:uiPriority w:val="99"/>
    <w:pPr>
      <w:ind w:firstLine="420" w:firstLineChars="200"/>
    </w:pPr>
    <w:rPr>
      <w:rFonts w:ascii="Times New Roman" w:hAnsi="Times New Roman"/>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2022-12-08T08:24:00Z</dcterms:created>
  <dc:creator>hp</dc:creator>
  <cp:lastModifiedBy>hp</cp:lastModifiedBy>
  <dcterms:modified xsi:type="dcterms:W3CDTF">2022-12-08T08:25:25Z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126061DB6FED41A2B0FDBA98AAC8AC65</vt:lpwstr>
  </property>
</Properties>
</file>