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994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600CE1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贵州省博物馆徐悲鸿书画数字文物活化项目建设内容及报价表</w:t>
      </w:r>
    </w:p>
    <w:bookmarkEnd w:id="0"/>
    <w:tbl>
      <w:tblPr>
        <w:tblStyle w:val="3"/>
        <w:tblW w:w="133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2" w:type="dxa"/>
          <w:left w:w="64" w:type="dxa"/>
          <w:bottom w:w="32" w:type="dxa"/>
          <w:right w:w="64" w:type="dxa"/>
        </w:tblCellMar>
      </w:tblPr>
      <w:tblGrid>
        <w:gridCol w:w="794"/>
        <w:gridCol w:w="1491"/>
        <w:gridCol w:w="2080"/>
        <w:gridCol w:w="5215"/>
        <w:gridCol w:w="992"/>
        <w:gridCol w:w="1069"/>
        <w:gridCol w:w="1720"/>
      </w:tblGrid>
      <w:tr w14:paraId="1797D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blHeader/>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2C2098">
            <w:pPr>
              <w:pageBreakBefore w:val="0"/>
              <w:kinsoku/>
              <w:wordWrap/>
              <w:overflowPunct/>
              <w:topLinePunct w:val="0"/>
              <w:autoSpaceDE/>
              <w:autoSpaceDN/>
              <w:bidi w:val="0"/>
              <w:adjustRightInd/>
              <w:snapToGrid w:val="0"/>
              <w:spacing w:beforeLines="0" w:afterLines="0" w:line="240" w:lineRule="auto"/>
              <w:jc w:val="center"/>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序号</w:t>
            </w:r>
          </w:p>
        </w:tc>
        <w:tc>
          <w:tcPr>
            <w:tcW w:w="1491" w:type="dxa"/>
            <w:tcBorders>
              <w:top w:val="single" w:color="auto" w:sz="6" w:space="0"/>
              <w:left w:val="single" w:color="auto" w:sz="6" w:space="0"/>
              <w:bottom w:val="single" w:color="auto" w:sz="6" w:space="0"/>
              <w:right w:val="nil"/>
              <w:tl2br w:val="nil"/>
              <w:tr2bl w:val="nil"/>
            </w:tcBorders>
            <w:noWrap w:val="0"/>
            <w:vAlign w:val="center"/>
          </w:tcPr>
          <w:p w14:paraId="2D17A518">
            <w:pPr>
              <w:pageBreakBefore w:val="0"/>
              <w:kinsoku/>
              <w:wordWrap/>
              <w:overflowPunct/>
              <w:topLinePunct w:val="0"/>
              <w:autoSpaceDE/>
              <w:autoSpaceDN/>
              <w:bidi w:val="0"/>
              <w:adjustRightInd/>
              <w:snapToGrid w:val="0"/>
              <w:spacing w:beforeLines="0" w:afterLines="0" w:line="240" w:lineRule="auto"/>
              <w:jc w:val="center"/>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建设内容</w:t>
            </w:r>
          </w:p>
        </w:tc>
        <w:tc>
          <w:tcPr>
            <w:tcW w:w="2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1E24E9">
            <w:pPr>
              <w:pageBreakBefore w:val="0"/>
              <w:kinsoku/>
              <w:wordWrap/>
              <w:overflowPunct/>
              <w:topLinePunct w:val="0"/>
              <w:autoSpaceDE/>
              <w:autoSpaceDN/>
              <w:bidi w:val="0"/>
              <w:adjustRightInd/>
              <w:snapToGrid w:val="0"/>
              <w:spacing w:beforeLines="0" w:afterLines="0" w:line="240" w:lineRule="auto"/>
              <w:jc w:val="center"/>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模块</w:t>
            </w: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C54E3">
            <w:pPr>
              <w:pageBreakBefore w:val="0"/>
              <w:kinsoku/>
              <w:wordWrap/>
              <w:overflowPunct/>
              <w:topLinePunct w:val="0"/>
              <w:autoSpaceDE/>
              <w:autoSpaceDN/>
              <w:bidi w:val="0"/>
              <w:adjustRightInd/>
              <w:snapToGrid w:val="0"/>
              <w:spacing w:beforeLines="0" w:afterLines="0" w:line="240" w:lineRule="auto"/>
              <w:jc w:val="center"/>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val="en-US" w:eastAsia="zh-CN"/>
              </w:rPr>
              <w:t>内容</w:t>
            </w:r>
            <w:r>
              <w:rPr>
                <w:rFonts w:hint="eastAsia" w:ascii="黑体" w:hAnsi="黑体" w:eastAsia="黑体" w:cs="黑体"/>
                <w:b w:val="0"/>
                <w:bCs/>
                <w:color w:val="000000"/>
                <w:sz w:val="32"/>
                <w:szCs w:val="32"/>
                <w:lang w:eastAsia="zh-CN"/>
              </w:rPr>
              <w:t>描述</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763335">
            <w:pPr>
              <w:pageBreakBefore w:val="0"/>
              <w:kinsoku/>
              <w:wordWrap/>
              <w:overflowPunct/>
              <w:topLinePunct w:val="0"/>
              <w:autoSpaceDE/>
              <w:autoSpaceDN/>
              <w:bidi w:val="0"/>
              <w:adjustRightInd/>
              <w:snapToGrid w:val="0"/>
              <w:spacing w:beforeLines="0" w:afterLines="0" w:line="240" w:lineRule="auto"/>
              <w:jc w:val="center"/>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数量</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514A70">
            <w:pPr>
              <w:pageBreakBefore w:val="0"/>
              <w:kinsoku/>
              <w:wordWrap/>
              <w:overflowPunct/>
              <w:topLinePunct w:val="0"/>
              <w:autoSpaceDE/>
              <w:autoSpaceDN/>
              <w:bidi w:val="0"/>
              <w:adjustRightInd/>
              <w:snapToGrid w:val="0"/>
              <w:spacing w:beforeLines="0" w:afterLines="0" w:line="240" w:lineRule="auto"/>
              <w:jc w:val="center"/>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单位</w:t>
            </w:r>
          </w:p>
        </w:tc>
        <w:tc>
          <w:tcPr>
            <w:tcW w:w="1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99EB44">
            <w:pPr>
              <w:pageBreakBefore w:val="0"/>
              <w:kinsoku/>
              <w:wordWrap/>
              <w:overflowPunct/>
              <w:topLinePunct w:val="0"/>
              <w:autoSpaceDE/>
              <w:autoSpaceDN/>
              <w:bidi w:val="0"/>
              <w:adjustRightInd/>
              <w:snapToGrid w:val="0"/>
              <w:spacing w:beforeLines="0" w:afterLines="0" w:line="240" w:lineRule="auto"/>
              <w:jc w:val="center"/>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val="en-US" w:eastAsia="zh-CN"/>
              </w:rPr>
              <w:t>报价</w:t>
            </w:r>
            <w:r>
              <w:rPr>
                <w:rFonts w:hint="eastAsia" w:ascii="黑体" w:hAnsi="黑体" w:eastAsia="黑体" w:cs="黑体"/>
                <w:b w:val="0"/>
                <w:bCs/>
                <w:color w:val="000000"/>
                <w:sz w:val="32"/>
                <w:szCs w:val="32"/>
                <w:lang w:eastAsia="zh-CN"/>
              </w:rPr>
              <w:t>（元）</w:t>
            </w:r>
          </w:p>
        </w:tc>
      </w:tr>
      <w:tr w14:paraId="0E12F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E672BA">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491" w:type="dxa"/>
            <w:tcBorders>
              <w:top w:val="single" w:color="auto" w:sz="6" w:space="0"/>
              <w:left w:val="single" w:color="auto" w:sz="6" w:space="0"/>
              <w:bottom w:val="single" w:color="auto" w:sz="6" w:space="0"/>
              <w:right w:val="nil"/>
              <w:tl2br w:val="nil"/>
              <w:tr2bl w:val="nil"/>
            </w:tcBorders>
            <w:noWrap w:val="0"/>
            <w:vAlign w:val="center"/>
          </w:tcPr>
          <w:p w14:paraId="5F90B662">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徐悲鸿书画资源数字化</w:t>
            </w:r>
          </w:p>
        </w:tc>
        <w:tc>
          <w:tcPr>
            <w:tcW w:w="2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378DCF">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高清图像采集与加工</w:t>
            </w: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012775">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1.有独立编号的文物拍摄1张，输出正面1张，如有特殊信息加拍1张；</w:t>
            </w:r>
          </w:p>
          <w:p w14:paraId="058A3C0C">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2.文物影像输出为RAW或TIFF格式文件，色彩空间为Adobe RGB，色彩深度为16bit/通道；</w:t>
            </w:r>
          </w:p>
          <w:p w14:paraId="3C12BB32">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3.档案留存级影像采样分辨率≥600dpi，其他级别输出影像按以下标准：①档案留存：影像格式TIFF，文件大小不小于60M，色彩空间Adobe RGB。②文物图录：影像格式TIFF，文件大小不小于30M，色彩空间Adobe RGB。③论文配图：影像格式TIFF、JPEG，文件大小不小于15 M，色彩空间Adobe RGB。</w:t>
            </w:r>
          </w:p>
          <w:p w14:paraId="22301310">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④网络宣传：影像格式JPEG，文件大小不小于2M，色彩空间sRGB。不小于1920×1080像素数。⑤数字展示：影像格式JPEG，文件大小不小于5M，色彩空间sRGB，适配展陈设备。</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FCD193">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68</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DDD903">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件</w:t>
            </w:r>
          </w:p>
        </w:tc>
        <w:tc>
          <w:tcPr>
            <w:tcW w:w="1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41FE9F">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lang w:eastAsia="zh-CN"/>
              </w:rPr>
            </w:pPr>
          </w:p>
        </w:tc>
      </w:tr>
      <w:tr w14:paraId="509CC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C2F25E">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491" w:type="dxa"/>
            <w:vMerge w:val="restart"/>
            <w:tcBorders>
              <w:top w:val="single" w:color="auto" w:sz="6" w:space="0"/>
              <w:left w:val="single" w:color="auto" w:sz="6" w:space="0"/>
              <w:right w:val="single" w:color="auto" w:sz="6" w:space="0"/>
              <w:tl2br w:val="nil"/>
              <w:tr2bl w:val="nil"/>
            </w:tcBorders>
            <w:noWrap w:val="0"/>
            <w:vAlign w:val="center"/>
          </w:tcPr>
          <w:p w14:paraId="6ACAE612">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徐悲鸿书画专题知识体系构建服务</w:t>
            </w:r>
          </w:p>
        </w:tc>
        <w:tc>
          <w:tcPr>
            <w:tcW w:w="2080" w:type="dxa"/>
            <w:vMerge w:val="restart"/>
            <w:tcBorders>
              <w:top w:val="single" w:color="auto" w:sz="6" w:space="0"/>
              <w:left w:val="single" w:color="auto" w:sz="6" w:space="0"/>
              <w:right w:val="single" w:color="auto" w:sz="6" w:space="0"/>
              <w:tl2br w:val="nil"/>
              <w:tr2bl w:val="nil"/>
            </w:tcBorders>
            <w:noWrap w:val="0"/>
            <w:vAlign w:val="center"/>
          </w:tcPr>
          <w:p w14:paraId="319BB969">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徐悲鸿书画专题知识体系构建</w:t>
            </w: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EEA76D">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徐悲鸿68件书画藏品数字化成果资源进行数据整理、清洗及标注工作。</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9B8DEF">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6FDC9C">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w:t>
            </w:r>
          </w:p>
        </w:tc>
        <w:tc>
          <w:tcPr>
            <w:tcW w:w="1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57CA3B">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r>
      <w:tr w14:paraId="06F8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360EFF">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491" w:type="dxa"/>
            <w:vMerge w:val="continue"/>
            <w:tcBorders>
              <w:left w:val="single" w:color="auto" w:sz="6" w:space="0"/>
              <w:right w:val="single" w:color="auto" w:sz="6" w:space="0"/>
              <w:tl2br w:val="nil"/>
              <w:tr2bl w:val="nil"/>
            </w:tcBorders>
            <w:noWrap w:val="0"/>
            <w:vAlign w:val="center"/>
          </w:tcPr>
          <w:p w14:paraId="3ED37C1F">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c>
          <w:tcPr>
            <w:tcW w:w="2080" w:type="dxa"/>
            <w:vMerge w:val="continue"/>
            <w:tcBorders>
              <w:left w:val="single" w:color="auto" w:sz="6" w:space="0"/>
              <w:right w:val="single" w:color="auto" w:sz="6" w:space="0"/>
              <w:tl2br w:val="nil"/>
              <w:tr2bl w:val="nil"/>
            </w:tcBorders>
            <w:noWrap w:val="0"/>
            <w:vAlign w:val="center"/>
          </w:tcPr>
          <w:p w14:paraId="50D16AA8">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FB0210">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基于馆方提供徐悲鸿本人及其68幅画作相关的人物信息、文物数据、历史文化信息以及传说故事的信息资料进行数据整理、清洗及标注工作。</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B33B98">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6A7B5A">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w:t>
            </w:r>
          </w:p>
        </w:tc>
        <w:tc>
          <w:tcPr>
            <w:tcW w:w="1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3A8F3B">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r>
      <w:tr w14:paraId="4764F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2A73C">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491" w:type="dxa"/>
            <w:vMerge w:val="continue"/>
            <w:tcBorders>
              <w:left w:val="single" w:color="auto" w:sz="6" w:space="0"/>
              <w:right w:val="single" w:color="auto" w:sz="6" w:space="0"/>
              <w:tl2br w:val="nil"/>
              <w:tr2bl w:val="nil"/>
            </w:tcBorders>
            <w:noWrap w:val="0"/>
            <w:vAlign w:val="center"/>
          </w:tcPr>
          <w:p w14:paraId="363E823B">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c>
          <w:tcPr>
            <w:tcW w:w="2080" w:type="dxa"/>
            <w:vMerge w:val="continue"/>
            <w:tcBorders>
              <w:left w:val="single" w:color="auto" w:sz="6" w:space="0"/>
              <w:right w:val="single" w:color="auto" w:sz="6" w:space="0"/>
              <w:tl2br w:val="nil"/>
              <w:tr2bl w:val="nil"/>
            </w:tcBorders>
            <w:noWrap w:val="0"/>
            <w:vAlign w:val="center"/>
          </w:tcPr>
          <w:p w14:paraId="36DE714F">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4A4804">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AI问答知识点标注，包括136个徐悲鸿专题常见问答对（68件书画文物，每件文物2个常见问答对）以及100个与文物相关的高频热词。</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434A08">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278439">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w:t>
            </w:r>
          </w:p>
        </w:tc>
        <w:tc>
          <w:tcPr>
            <w:tcW w:w="1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C6CCA5">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r>
      <w:tr w14:paraId="5D063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327DDD">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1491" w:type="dxa"/>
            <w:vMerge w:val="continue"/>
            <w:tcBorders>
              <w:left w:val="single" w:color="auto" w:sz="6" w:space="0"/>
              <w:bottom w:val="single" w:color="auto" w:sz="6" w:space="0"/>
              <w:right w:val="single" w:color="auto" w:sz="6" w:space="0"/>
              <w:tl2br w:val="nil"/>
              <w:tr2bl w:val="nil"/>
            </w:tcBorders>
            <w:noWrap w:val="0"/>
            <w:vAlign w:val="center"/>
          </w:tcPr>
          <w:p w14:paraId="360F32D2">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c>
          <w:tcPr>
            <w:tcW w:w="2080" w:type="dxa"/>
            <w:vMerge w:val="continue"/>
            <w:tcBorders>
              <w:left w:val="single" w:color="auto" w:sz="6" w:space="0"/>
              <w:bottom w:val="single" w:color="auto" w:sz="6" w:space="0"/>
              <w:right w:val="single" w:color="auto" w:sz="6" w:space="0"/>
              <w:tl2br w:val="nil"/>
              <w:tr2bl w:val="nil"/>
            </w:tcBorders>
            <w:noWrap w:val="0"/>
            <w:vAlign w:val="center"/>
          </w:tcPr>
          <w:p w14:paraId="71D209EB">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04D57F">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基于馆方提供的文字资料，进行文物藏品数字化180秒的视频拍摄，涵盖脚本策划、视频拍摄、后期剪辑、制作相关内容。</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8EE3F7">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AD9984">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w:t>
            </w:r>
          </w:p>
        </w:tc>
        <w:tc>
          <w:tcPr>
            <w:tcW w:w="1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4ECD07">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r>
      <w:tr w14:paraId="3B32F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6A250A">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1491" w:type="dxa"/>
            <w:vMerge w:val="restart"/>
            <w:tcBorders>
              <w:top w:val="single" w:color="auto" w:sz="6" w:space="0"/>
              <w:left w:val="single" w:color="auto" w:sz="6" w:space="0"/>
              <w:right w:val="nil"/>
              <w:tl2br w:val="nil"/>
              <w:tr2bl w:val="nil"/>
            </w:tcBorders>
            <w:noWrap w:val="0"/>
            <w:vAlign w:val="center"/>
          </w:tcPr>
          <w:p w14:paraId="7597D2B2">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徐悲鸿书画资源数据库微信小程序</w:t>
            </w:r>
          </w:p>
        </w:tc>
        <w:tc>
          <w:tcPr>
            <w:tcW w:w="2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6C5EE1">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画作列表</w:t>
            </w: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19D443">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该功能依托于构建的徐悲鸿专题知识体系，为用户呈现68幅徐悲鸿书画作品的相关基本信息。</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6F148B">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C9EE02">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w:t>
            </w:r>
          </w:p>
        </w:tc>
        <w:tc>
          <w:tcPr>
            <w:tcW w:w="1720" w:type="dxa"/>
            <w:vMerge w:val="restart"/>
            <w:tcBorders>
              <w:top w:val="single" w:color="auto" w:sz="6" w:space="0"/>
              <w:left w:val="single" w:color="auto" w:sz="6" w:space="0"/>
              <w:right w:val="single" w:color="auto" w:sz="6" w:space="0"/>
              <w:tl2br w:val="nil"/>
              <w:tr2bl w:val="nil"/>
            </w:tcBorders>
            <w:noWrap w:val="0"/>
            <w:vAlign w:val="center"/>
          </w:tcPr>
          <w:p w14:paraId="709C8090">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r>
      <w:tr w14:paraId="76C81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E6C5E0">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1491" w:type="dxa"/>
            <w:vMerge w:val="continue"/>
            <w:tcBorders>
              <w:left w:val="single" w:color="auto" w:sz="6" w:space="0"/>
              <w:right w:val="nil"/>
              <w:tl2br w:val="nil"/>
              <w:tr2bl w:val="nil"/>
            </w:tcBorders>
            <w:noWrap w:val="0"/>
            <w:vAlign w:val="center"/>
          </w:tcPr>
          <w:p w14:paraId="7808A160">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c>
          <w:tcPr>
            <w:tcW w:w="2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F9D912">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创作社区</w:t>
            </w: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CD36D1">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用户通过AI简笔画、AI藏品生成的作品，通过点击“展示”按钮后，可在社区进行创作展示。</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53A9C8">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EB7F3">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w:t>
            </w:r>
          </w:p>
        </w:tc>
        <w:tc>
          <w:tcPr>
            <w:tcW w:w="1720" w:type="dxa"/>
            <w:vMerge w:val="continue"/>
            <w:tcBorders>
              <w:left w:val="single" w:color="auto" w:sz="6" w:space="0"/>
              <w:bottom w:val="single" w:color="auto" w:sz="6" w:space="0"/>
              <w:right w:val="single" w:color="auto" w:sz="6" w:space="0"/>
              <w:tl2br w:val="nil"/>
              <w:tr2bl w:val="nil"/>
            </w:tcBorders>
            <w:noWrap w:val="0"/>
            <w:vAlign w:val="center"/>
          </w:tcPr>
          <w:p w14:paraId="50B8E37A">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r>
      <w:tr w14:paraId="3E278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0B49C8">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1491" w:type="dxa"/>
            <w:vMerge w:val="continue"/>
            <w:tcBorders>
              <w:left w:val="single" w:color="auto" w:sz="6" w:space="0"/>
              <w:right w:val="nil"/>
              <w:tl2br w:val="nil"/>
              <w:tr2bl w:val="nil"/>
            </w:tcBorders>
            <w:noWrap w:val="0"/>
            <w:vAlign w:val="center"/>
          </w:tcPr>
          <w:p w14:paraId="10C6F76A">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c>
          <w:tcPr>
            <w:tcW w:w="2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546005">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AI问答</w:t>
            </w: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850327">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用户在AI问答界面输入问题。系统会基于对大量徐悲鸿书画相关知识的深度学习和精准分析，快速给出专业且详细的回答，满足用户对艺术知识的求知欲。</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BCC7C7">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AE56CB">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w:t>
            </w:r>
          </w:p>
        </w:tc>
        <w:tc>
          <w:tcPr>
            <w:tcW w:w="1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180120">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r>
      <w:tr w14:paraId="1551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CB032E">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1491" w:type="dxa"/>
            <w:vMerge w:val="continue"/>
            <w:tcBorders>
              <w:left w:val="single" w:color="auto" w:sz="6" w:space="0"/>
              <w:right w:val="nil"/>
              <w:tl2br w:val="nil"/>
              <w:tr2bl w:val="nil"/>
            </w:tcBorders>
            <w:noWrap w:val="0"/>
            <w:vAlign w:val="center"/>
          </w:tcPr>
          <w:p w14:paraId="02EA2766">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c>
          <w:tcPr>
            <w:tcW w:w="2080" w:type="dxa"/>
            <w:tcBorders>
              <w:top w:val="single" w:color="auto" w:sz="6" w:space="0"/>
              <w:left w:val="single" w:color="auto" w:sz="6" w:space="0"/>
              <w:bottom w:val="nil"/>
              <w:right w:val="single" w:color="auto" w:sz="6" w:space="0"/>
              <w:tl2br w:val="nil"/>
              <w:tr2bl w:val="nil"/>
            </w:tcBorders>
            <w:noWrap w:val="0"/>
            <w:vAlign w:val="center"/>
          </w:tcPr>
          <w:p w14:paraId="0C864C31">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AI活化</w:t>
            </w: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31BFF8">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该功能是小程序中极具创意和特色的一部分，能将68幅徐悲鸿画作生成活化展示视频，每段视频时长大约10秒左右。</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16DFF1">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BE31F7">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w:t>
            </w:r>
          </w:p>
        </w:tc>
        <w:tc>
          <w:tcPr>
            <w:tcW w:w="1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84F91A">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r>
      <w:tr w14:paraId="0F87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428B6A">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1491" w:type="dxa"/>
            <w:vMerge w:val="continue"/>
            <w:tcBorders>
              <w:left w:val="single" w:color="auto" w:sz="6" w:space="0"/>
              <w:right w:val="nil"/>
              <w:tl2br w:val="nil"/>
              <w:tr2bl w:val="nil"/>
            </w:tcBorders>
            <w:noWrap w:val="0"/>
            <w:vAlign w:val="center"/>
          </w:tcPr>
          <w:p w14:paraId="226703E7">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c>
          <w:tcPr>
            <w:tcW w:w="2080" w:type="dxa"/>
            <w:tcBorders>
              <w:top w:val="single" w:color="auto" w:sz="6" w:space="0"/>
              <w:left w:val="single" w:color="auto" w:sz="6" w:space="0"/>
              <w:bottom w:val="nil"/>
              <w:right w:val="single" w:color="auto" w:sz="6" w:space="0"/>
              <w:tl2br w:val="nil"/>
              <w:tr2bl w:val="nil"/>
            </w:tcBorders>
            <w:noWrap w:val="0"/>
            <w:vAlign w:val="center"/>
          </w:tcPr>
          <w:p w14:paraId="054B7879">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AI简笔画</w:t>
            </w: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1EAAFF">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用户通过手绘工具勾勒简单图案，随后点击“生成徐悲鸿风格”按钮，系统依托图像识别技术，并基于徐悲鸿书画艺术特质，将用户创意生成徐悲鸿艺术风格的画作。画作生成后，用户可对作品进行保存(保存在本地)、分享以及展示（分享至知识库，并可展示在画作列表栏目版块中观众创作列表）。</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84C8BB">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CD3EAA">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w:t>
            </w:r>
          </w:p>
        </w:tc>
        <w:tc>
          <w:tcPr>
            <w:tcW w:w="1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9F71EA">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r>
      <w:tr w14:paraId="4F0F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34B5F9">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p>
        </w:tc>
        <w:tc>
          <w:tcPr>
            <w:tcW w:w="1491" w:type="dxa"/>
            <w:vMerge w:val="continue"/>
            <w:tcBorders>
              <w:left w:val="single" w:color="auto" w:sz="6" w:space="0"/>
              <w:bottom w:val="nil"/>
              <w:right w:val="nil"/>
              <w:tl2br w:val="nil"/>
              <w:tr2bl w:val="nil"/>
            </w:tcBorders>
            <w:noWrap w:val="0"/>
            <w:vAlign w:val="center"/>
          </w:tcPr>
          <w:p w14:paraId="31255011">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c>
          <w:tcPr>
            <w:tcW w:w="2080" w:type="dxa"/>
            <w:tcBorders>
              <w:top w:val="single" w:color="auto" w:sz="6" w:space="0"/>
              <w:left w:val="single" w:color="auto" w:sz="6" w:space="0"/>
              <w:bottom w:val="nil"/>
              <w:right w:val="single" w:color="auto" w:sz="6" w:space="0"/>
              <w:tl2br w:val="nil"/>
              <w:tr2bl w:val="nil"/>
            </w:tcBorders>
            <w:noWrap w:val="0"/>
            <w:vAlign w:val="center"/>
          </w:tcPr>
          <w:p w14:paraId="6F804F30">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AI藏品</w:t>
            </w: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6BB039">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用户上传拍摄的文物照片，系统基于徐悲鸿的画风、色彩和标志性元素，通过AI藏品将其文物照片转换为徐悲鸿风格画稿，生成个性化AI藏品。藏品生成后，用户可进行保存(保存在本地)、分享以及展示（分享至知识库，并展示在画作列表栏目版块中观众创作列表）。</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1CD6C2">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59628">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w:t>
            </w:r>
          </w:p>
        </w:tc>
        <w:tc>
          <w:tcPr>
            <w:tcW w:w="1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92A092">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r>
      <w:tr w14:paraId="6418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5D0B3B">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w:t>
            </w:r>
          </w:p>
        </w:tc>
        <w:tc>
          <w:tcPr>
            <w:tcW w:w="1491" w:type="dxa"/>
            <w:vMerge w:val="restart"/>
            <w:tcBorders>
              <w:top w:val="single" w:color="auto" w:sz="6" w:space="0"/>
              <w:left w:val="single" w:color="auto" w:sz="6" w:space="0"/>
              <w:right w:val="nil"/>
              <w:tl2br w:val="nil"/>
              <w:tr2bl w:val="nil"/>
            </w:tcBorders>
            <w:noWrap w:val="0"/>
            <w:vAlign w:val="center"/>
          </w:tcPr>
          <w:p w14:paraId="0A3E0ED4">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微信小程序底层资源支撑</w:t>
            </w:r>
          </w:p>
        </w:tc>
        <w:tc>
          <w:tcPr>
            <w:tcW w:w="2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208200">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AI问答模型训练</w:t>
            </w: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7704F8">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对AI回答模型进行专项领域训练，使其能够准确回答徐悲鸿书画相关问题。</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9497A4">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A984D0">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w:t>
            </w:r>
          </w:p>
        </w:tc>
        <w:tc>
          <w:tcPr>
            <w:tcW w:w="1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D72398">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r>
      <w:tr w14:paraId="7B0CF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9A141D">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w:t>
            </w:r>
          </w:p>
        </w:tc>
        <w:tc>
          <w:tcPr>
            <w:tcW w:w="1491" w:type="dxa"/>
            <w:vMerge w:val="continue"/>
            <w:tcBorders>
              <w:left w:val="single" w:color="auto" w:sz="6" w:space="0"/>
              <w:right w:val="nil"/>
              <w:tl2br w:val="nil"/>
              <w:tr2bl w:val="nil"/>
            </w:tcBorders>
            <w:noWrap w:val="0"/>
            <w:vAlign w:val="center"/>
          </w:tcPr>
          <w:p w14:paraId="00CDCBF8">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c>
          <w:tcPr>
            <w:tcW w:w="2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FA5016">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AI问答SaaS服务</w:t>
            </w: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689B81">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支持小程序里AI问答前端应用，实时监控问答过程，人工监督修改错误内容，同时配置常见问题的标准化回答。</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349028">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E996A4">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w:t>
            </w:r>
          </w:p>
        </w:tc>
        <w:tc>
          <w:tcPr>
            <w:tcW w:w="1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CD2A6D">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r>
      <w:tr w14:paraId="3F95A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4577C0">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w:t>
            </w:r>
          </w:p>
        </w:tc>
        <w:tc>
          <w:tcPr>
            <w:tcW w:w="1491" w:type="dxa"/>
            <w:vMerge w:val="continue"/>
            <w:tcBorders>
              <w:left w:val="single" w:color="auto" w:sz="6" w:space="0"/>
              <w:right w:val="nil"/>
              <w:tl2br w:val="nil"/>
              <w:tr2bl w:val="nil"/>
            </w:tcBorders>
            <w:noWrap w:val="0"/>
            <w:vAlign w:val="center"/>
          </w:tcPr>
          <w:p w14:paraId="35A8CC5E">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c>
          <w:tcPr>
            <w:tcW w:w="2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041849">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AI活化视频资源</w:t>
            </w: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8859E5">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制作生成用于展示的视频内容资源</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05F2B">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1000</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AFAEB">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段</w:t>
            </w:r>
          </w:p>
        </w:tc>
        <w:tc>
          <w:tcPr>
            <w:tcW w:w="1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6CCBDF">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r>
      <w:tr w14:paraId="2C7F4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961E7">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w:t>
            </w:r>
          </w:p>
        </w:tc>
        <w:tc>
          <w:tcPr>
            <w:tcW w:w="1491" w:type="dxa"/>
            <w:vMerge w:val="continue"/>
            <w:tcBorders>
              <w:left w:val="single" w:color="auto" w:sz="6" w:space="0"/>
              <w:right w:val="nil"/>
              <w:tl2br w:val="nil"/>
              <w:tr2bl w:val="nil"/>
            </w:tcBorders>
            <w:noWrap w:val="0"/>
            <w:vAlign w:val="center"/>
          </w:tcPr>
          <w:p w14:paraId="1FEA6C2A">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c>
          <w:tcPr>
            <w:tcW w:w="2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EF1EF3">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AI简笔画资源</w:t>
            </w: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964F3A">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制作生成用于展示的简笔画作品内容资源</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CD1062">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2500</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1BA4E1">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张</w:t>
            </w:r>
          </w:p>
        </w:tc>
        <w:tc>
          <w:tcPr>
            <w:tcW w:w="1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947CFD">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r>
      <w:tr w14:paraId="4169F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165910">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w:t>
            </w:r>
          </w:p>
        </w:tc>
        <w:tc>
          <w:tcPr>
            <w:tcW w:w="1491" w:type="dxa"/>
            <w:vMerge w:val="continue"/>
            <w:tcBorders>
              <w:left w:val="single" w:color="auto" w:sz="6" w:space="0"/>
              <w:bottom w:val="single" w:color="auto" w:sz="6" w:space="0"/>
              <w:right w:val="nil"/>
              <w:tl2br w:val="nil"/>
              <w:tr2bl w:val="nil"/>
            </w:tcBorders>
            <w:noWrap w:val="0"/>
            <w:vAlign w:val="center"/>
          </w:tcPr>
          <w:p w14:paraId="47D746D9">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c>
          <w:tcPr>
            <w:tcW w:w="2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85A561">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AI藏品画作资源</w:t>
            </w: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100D4A">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制作生成用于展示的AI藏品图画作品内容资源</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9439AB">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2500</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851FE2">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张</w:t>
            </w:r>
          </w:p>
        </w:tc>
        <w:tc>
          <w:tcPr>
            <w:tcW w:w="1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CAF04">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r>
      <w:tr w14:paraId="41110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84BD3C">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w:t>
            </w:r>
          </w:p>
        </w:tc>
        <w:tc>
          <w:tcPr>
            <w:tcW w:w="14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1BFF88">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软件著作权</w:t>
            </w:r>
          </w:p>
        </w:tc>
        <w:tc>
          <w:tcPr>
            <w:tcW w:w="2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201055">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软件著作权</w:t>
            </w: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5AAEB1">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取得项目相关软件著作权。</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F885CE">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E36CF1">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w:t>
            </w:r>
          </w:p>
        </w:tc>
        <w:tc>
          <w:tcPr>
            <w:tcW w:w="1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999FFB">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r>
      <w:tr w14:paraId="40B3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76501F">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w:t>
            </w:r>
          </w:p>
        </w:tc>
        <w:tc>
          <w:tcPr>
            <w:tcW w:w="1491" w:type="dxa"/>
            <w:vMerge w:val="restart"/>
            <w:tcBorders>
              <w:top w:val="single" w:color="auto" w:sz="6" w:space="0"/>
              <w:left w:val="single" w:color="auto" w:sz="6" w:space="0"/>
              <w:right w:val="single" w:color="auto" w:sz="6" w:space="0"/>
              <w:tl2br w:val="nil"/>
              <w:tr2bl w:val="nil"/>
            </w:tcBorders>
            <w:noWrap w:val="0"/>
            <w:vAlign w:val="center"/>
          </w:tcPr>
          <w:p w14:paraId="0B86267D">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设备资源</w:t>
            </w:r>
          </w:p>
        </w:tc>
        <w:tc>
          <w:tcPr>
            <w:tcW w:w="2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E19E8A">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移动硬盘</w:t>
            </w: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EE5BF8">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固态硬盘</w:t>
            </w:r>
          </w:p>
          <w:p w14:paraId="62A3FFCF">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容量：1TB </w:t>
            </w:r>
          </w:p>
          <w:p w14:paraId="62A6E478">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接口规格：USB3.2</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A2AAF7">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2D011F">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块</w:t>
            </w:r>
          </w:p>
        </w:tc>
        <w:tc>
          <w:tcPr>
            <w:tcW w:w="1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EFBAE6">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r>
      <w:tr w14:paraId="79132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B6FB2F">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19</w:t>
            </w:r>
          </w:p>
        </w:tc>
        <w:tc>
          <w:tcPr>
            <w:tcW w:w="1491" w:type="dxa"/>
            <w:vMerge w:val="continue"/>
            <w:tcBorders>
              <w:left w:val="single" w:color="auto" w:sz="6" w:space="0"/>
              <w:right w:val="single" w:color="auto" w:sz="6" w:space="0"/>
              <w:tl2br w:val="nil"/>
              <w:tr2bl w:val="nil"/>
            </w:tcBorders>
            <w:noWrap w:val="0"/>
            <w:vAlign w:val="center"/>
          </w:tcPr>
          <w:p w14:paraId="15DBE29C">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c>
          <w:tcPr>
            <w:tcW w:w="2080" w:type="dxa"/>
            <w:tcBorders>
              <w:top w:val="single" w:color="auto" w:sz="6" w:space="0"/>
              <w:left w:val="single" w:color="auto" w:sz="6" w:space="0"/>
              <w:bottom w:val="single" w:color="auto" w:sz="6" w:space="0"/>
              <w:right w:val="nil"/>
              <w:tl2br w:val="nil"/>
              <w:tr2bl w:val="nil"/>
            </w:tcBorders>
            <w:noWrap w:val="0"/>
            <w:vAlign w:val="center"/>
          </w:tcPr>
          <w:p w14:paraId="62D28EC9">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云服务器1</w:t>
            </w: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EE0B65">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8核16G</w:t>
            </w:r>
          </w:p>
          <w:p w14:paraId="35270FE9">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40G系统盘</w:t>
            </w:r>
          </w:p>
          <w:p w14:paraId="7E9FB38B">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500G存储</w:t>
            </w:r>
          </w:p>
          <w:p w14:paraId="0244A195">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独享带宽10M</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7A64F7">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E331D">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台/3年</w:t>
            </w:r>
          </w:p>
        </w:tc>
        <w:tc>
          <w:tcPr>
            <w:tcW w:w="1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B0AD20">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r>
      <w:tr w14:paraId="58F2C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F8613B">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w:t>
            </w:r>
          </w:p>
        </w:tc>
        <w:tc>
          <w:tcPr>
            <w:tcW w:w="1491" w:type="dxa"/>
            <w:vMerge w:val="continue"/>
            <w:tcBorders>
              <w:left w:val="single" w:color="auto" w:sz="6" w:space="0"/>
              <w:bottom w:val="single" w:color="auto" w:sz="6" w:space="0"/>
              <w:right w:val="single" w:color="auto" w:sz="6" w:space="0"/>
              <w:tl2br w:val="nil"/>
              <w:tr2bl w:val="nil"/>
            </w:tcBorders>
            <w:noWrap w:val="0"/>
            <w:vAlign w:val="center"/>
          </w:tcPr>
          <w:p w14:paraId="0FE598B6">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c>
          <w:tcPr>
            <w:tcW w:w="2080" w:type="dxa"/>
            <w:tcBorders>
              <w:top w:val="single" w:color="auto" w:sz="6" w:space="0"/>
              <w:left w:val="single" w:color="auto" w:sz="6" w:space="0"/>
              <w:bottom w:val="single" w:color="auto" w:sz="6" w:space="0"/>
              <w:right w:val="nil"/>
              <w:tl2br w:val="nil"/>
              <w:tr2bl w:val="nil"/>
            </w:tcBorders>
            <w:noWrap w:val="0"/>
            <w:vAlign w:val="center"/>
          </w:tcPr>
          <w:p w14:paraId="32030CDB">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云服务器2</w:t>
            </w: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A67310">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8核16G</w:t>
            </w:r>
          </w:p>
          <w:p w14:paraId="3085E9FD">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40G系统盘</w:t>
            </w:r>
          </w:p>
          <w:p w14:paraId="25CE48D3">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1T存储</w:t>
            </w:r>
          </w:p>
          <w:p w14:paraId="14376730">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独享带宽10M</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8425D5">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3C4302">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台/3年</w:t>
            </w:r>
          </w:p>
        </w:tc>
        <w:tc>
          <w:tcPr>
            <w:tcW w:w="1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15B08E">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r>
      <w:tr w14:paraId="425C8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6BC27E">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w:t>
            </w:r>
          </w:p>
        </w:tc>
        <w:tc>
          <w:tcPr>
            <w:tcW w:w="1491" w:type="dxa"/>
            <w:tcBorders>
              <w:top w:val="nil"/>
              <w:left w:val="single" w:color="auto" w:sz="6" w:space="0"/>
              <w:bottom w:val="single" w:color="auto" w:sz="6" w:space="0"/>
              <w:right w:val="nil"/>
              <w:tl2br w:val="nil"/>
              <w:tr2bl w:val="nil"/>
            </w:tcBorders>
            <w:noWrap w:val="0"/>
            <w:vAlign w:val="center"/>
          </w:tcPr>
          <w:p w14:paraId="772C2A97">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项目运维</w:t>
            </w:r>
          </w:p>
        </w:tc>
        <w:tc>
          <w:tcPr>
            <w:tcW w:w="2080" w:type="dxa"/>
            <w:tcBorders>
              <w:top w:val="nil"/>
              <w:left w:val="single" w:color="auto" w:sz="6" w:space="0"/>
              <w:bottom w:val="single" w:color="auto" w:sz="6" w:space="0"/>
              <w:right w:val="single" w:color="auto" w:sz="6" w:space="0"/>
              <w:tl2br w:val="nil"/>
              <w:tr2bl w:val="nil"/>
            </w:tcBorders>
            <w:noWrap w:val="0"/>
            <w:vAlign w:val="center"/>
          </w:tcPr>
          <w:p w14:paraId="444F69B4">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运维费用</w:t>
            </w:r>
          </w:p>
        </w:tc>
        <w:tc>
          <w:tcPr>
            <w:tcW w:w="52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6AF874">
            <w:pPr>
              <w:pageBreakBefore w:val="0"/>
              <w:kinsoku/>
              <w:wordWrap/>
              <w:overflowPunct/>
              <w:topLinePunct w:val="0"/>
              <w:autoSpaceDE/>
              <w:autoSpaceDN/>
              <w:bidi w:val="0"/>
              <w:adjustRightInd/>
              <w:snapToGrid w:val="0"/>
              <w:spacing w:beforeLines="0" w:afterLines="0"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用于保障徐悲鸿书画专题知识库微信小程序上线后的稳定运行以及日常技术支持和故障排查等工作，确保小程序长期为用户提供优质的徐悲鸿书画数字化资源展示与互动服务。</w:t>
            </w:r>
          </w:p>
        </w:tc>
        <w:tc>
          <w:tcPr>
            <w:tcW w:w="9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72F78B">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0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C2BAC4">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w:t>
            </w:r>
          </w:p>
        </w:tc>
        <w:tc>
          <w:tcPr>
            <w:tcW w:w="1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198B25">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p>
        </w:tc>
      </w:tr>
      <w:tr w14:paraId="5A23D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F717FB">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w:t>
            </w:r>
          </w:p>
        </w:tc>
        <w:tc>
          <w:tcPr>
            <w:tcW w:w="12567"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7A0181AB">
            <w:pPr>
              <w:pageBreakBefore w:val="0"/>
              <w:kinsoku/>
              <w:wordWrap/>
              <w:overflowPunct/>
              <w:topLinePunct w:val="0"/>
              <w:autoSpaceDE/>
              <w:autoSpaceDN/>
              <w:bidi w:val="0"/>
              <w:adjustRightInd/>
              <w:snapToGrid w:val="0"/>
              <w:spacing w:beforeLines="0" w:afterLines="0" w:line="240" w:lineRule="auto"/>
              <w:jc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eastAsia="zh-CN"/>
              </w:rPr>
              <w:t>报价</w:t>
            </w:r>
            <w:r>
              <w:rPr>
                <w:rFonts w:hint="eastAsia" w:ascii="仿宋_GB2312" w:hAnsi="仿宋_GB2312" w:eastAsia="仿宋_GB2312" w:cs="仿宋_GB2312"/>
                <w:b/>
                <w:color w:val="000000"/>
                <w:sz w:val="28"/>
                <w:szCs w:val="28"/>
              </w:rPr>
              <w:t>合计（元）：</w:t>
            </w:r>
          </w:p>
        </w:tc>
      </w:tr>
    </w:tbl>
    <w:p w14:paraId="7E7CF524"/>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83C58"/>
    <w:rsid w:val="23F1788A"/>
    <w:rsid w:val="3BE556CD"/>
    <w:rsid w:val="42583C58"/>
    <w:rsid w:val="4746152D"/>
    <w:rsid w:val="53957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样式1"/>
    <w:basedOn w:val="1"/>
    <w:qFormat/>
    <w:uiPriority w:val="0"/>
    <w:pPr>
      <w:spacing w:line="560" w:lineRule="exact"/>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1444</Words>
  <Characters>1604</Characters>
  <Lines>0</Lines>
  <Paragraphs>0</Paragraphs>
  <TotalTime>4</TotalTime>
  <ScaleCrop>false</ScaleCrop>
  <LinksUpToDate>false</LinksUpToDate>
  <CharactersWithSpaces>1610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2025-10-21T01:48:00Z</dcterms:created>
  <dc:creator>Cassidy</dc:creator>
  <cp:lastModifiedBy>WJYang-Bang</cp:lastModifiedBy>
  <dcterms:modified xsi:type="dcterms:W3CDTF">2025-10-21T15:06:51Z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85A898B9AB40427DA545D3800A78F3EA_13</vt:lpwstr>
  </property>
  <property fmtid="{D5CDD505-2E9C-101B-9397-08002B2CF9AE}" pid="4" name="KSOTemplateDocerSaveRecord">
    <vt:lpwstr>eyJoZGlkIjoiMzc5ZDFjMzdjZDU4ZjM2ZDI0NmYwODNmY2QyYzliZTkiLCJ1c2VySWQiOiIyNTMyNzU4NDgifQ==</vt:lpwstr>
  </property>
</Properties>
</file>